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0904" w14:textId="77777777" w:rsidR="00177557" w:rsidRPr="007156AC" w:rsidRDefault="001E0E94" w:rsidP="0006312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32"/>
        </w:rPr>
      </w:pPr>
      <w:r w:rsidRPr="007156A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5F858F7" wp14:editId="3379D08D">
            <wp:simplePos x="0" y="0"/>
            <wp:positionH relativeFrom="column">
              <wp:posOffset>4933092</wp:posOffset>
            </wp:positionH>
            <wp:positionV relativeFrom="paragraph">
              <wp:posOffset>-457200</wp:posOffset>
            </wp:positionV>
            <wp:extent cx="1159320" cy="9169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England logo_NHS Blu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284" cy="92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557" w:rsidRPr="007156AC">
        <w:rPr>
          <w:rFonts w:asciiTheme="minorHAnsi" w:hAnsiTheme="minorHAnsi"/>
          <w:b/>
          <w:bCs/>
          <w:sz w:val="32"/>
          <w:szCs w:val="32"/>
        </w:rPr>
        <w:t>Regional Medicines Optimisation Committee Briefing</w:t>
      </w:r>
    </w:p>
    <w:p w14:paraId="00A9BDD7" w14:textId="77777777" w:rsidR="00177557" w:rsidRPr="007156AC" w:rsidRDefault="00177557" w:rsidP="00742C71">
      <w:pPr>
        <w:pStyle w:val="Default"/>
        <w:spacing w:line="276" w:lineRule="auto"/>
        <w:rPr>
          <w:rFonts w:asciiTheme="minorHAnsi" w:hAnsiTheme="minorHAnsi"/>
          <w:color w:val="auto"/>
          <w:sz w:val="32"/>
          <w:szCs w:val="32"/>
        </w:rPr>
      </w:pPr>
      <w:r w:rsidRPr="007156AC">
        <w:rPr>
          <w:rFonts w:asciiTheme="minorHAnsi" w:hAnsiTheme="minorHAnsi"/>
          <w:b/>
          <w:bCs/>
          <w:color w:val="auto"/>
          <w:sz w:val="32"/>
          <w:szCs w:val="32"/>
        </w:rPr>
        <w:t xml:space="preserve">Best Value </w:t>
      </w:r>
      <w:r w:rsidR="008D57B2" w:rsidRPr="007156AC">
        <w:rPr>
          <w:rFonts w:asciiTheme="minorHAnsi" w:hAnsiTheme="minorHAnsi"/>
          <w:b/>
          <w:bCs/>
          <w:color w:val="auto"/>
          <w:sz w:val="32"/>
          <w:szCs w:val="32"/>
        </w:rPr>
        <w:t>Biologicals: Adalimumab Update 4</w:t>
      </w:r>
    </w:p>
    <w:p w14:paraId="0AE49D5A" w14:textId="77777777" w:rsidR="00D528E3" w:rsidRPr="007156AC" w:rsidRDefault="00D528E3" w:rsidP="00742C71">
      <w:pPr>
        <w:pStyle w:val="BodyText"/>
        <w:spacing w:after="0" w:line="276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7156AC" w:rsidRPr="007156AC" w14:paraId="7895EBAA" w14:textId="77777777" w:rsidTr="00891F09">
        <w:trPr>
          <w:jc w:val="center"/>
        </w:trPr>
        <w:tc>
          <w:tcPr>
            <w:tcW w:w="9242" w:type="dxa"/>
            <w:shd w:val="clear" w:color="auto" w:fill="DAEEF3" w:themeFill="accent5" w:themeFillTint="33"/>
          </w:tcPr>
          <w:p w14:paraId="7F753AAB" w14:textId="77777777" w:rsidR="00D528E3" w:rsidRPr="007156AC" w:rsidRDefault="00D528E3" w:rsidP="00891F09">
            <w:pPr>
              <w:pStyle w:val="BodyText"/>
              <w:spacing w:after="0" w:line="276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4F58A792" w14:textId="77777777" w:rsidR="00D528E3" w:rsidRPr="007156AC" w:rsidRDefault="00D528E3" w:rsidP="00891F09">
            <w:pPr>
              <w:pStyle w:val="BodyText"/>
              <w:spacing w:after="0"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7156AC">
              <w:rPr>
                <w:rFonts w:asciiTheme="minorHAnsi" w:hAnsiTheme="minorHAnsi" w:cs="Arial"/>
                <w:sz w:val="28"/>
                <w:szCs w:val="28"/>
              </w:rPr>
              <w:t>Biosimilar versions of the original biological medicine adalimumab (brand name Humira®) are due to be in</w:t>
            </w:r>
            <w:r w:rsidR="008019A0" w:rsidRPr="007156AC">
              <w:rPr>
                <w:rFonts w:asciiTheme="minorHAnsi" w:hAnsiTheme="minorHAnsi" w:cs="Arial"/>
                <w:sz w:val="28"/>
                <w:szCs w:val="28"/>
              </w:rPr>
              <w:t xml:space="preserve">troduced in the NHS </w:t>
            </w:r>
            <w:r w:rsidR="001B2CF2">
              <w:rPr>
                <w:rFonts w:asciiTheme="minorHAnsi" w:hAnsiTheme="minorHAnsi" w:cs="Arial"/>
                <w:sz w:val="28"/>
                <w:szCs w:val="28"/>
              </w:rPr>
              <w:t xml:space="preserve">as part of a formal framework agreement from </w:t>
            </w:r>
            <w:r w:rsidR="00B77F4F">
              <w:rPr>
                <w:rFonts w:asciiTheme="minorHAnsi" w:hAnsiTheme="minorHAnsi" w:cs="Arial"/>
                <w:sz w:val="28"/>
                <w:szCs w:val="28"/>
              </w:rPr>
              <w:t xml:space="preserve">1 </w:t>
            </w:r>
            <w:r w:rsidR="001D2F64" w:rsidRPr="00B77F4F">
              <w:rPr>
                <w:rFonts w:asciiTheme="minorHAnsi" w:hAnsiTheme="minorHAnsi" w:cs="Arial"/>
                <w:sz w:val="28"/>
                <w:szCs w:val="28"/>
              </w:rPr>
              <w:t>December 2018</w:t>
            </w:r>
            <w:r w:rsidRPr="007156AC">
              <w:rPr>
                <w:rFonts w:asciiTheme="minorHAnsi" w:hAnsiTheme="minorHAnsi" w:cs="Arial"/>
                <w:sz w:val="28"/>
                <w:szCs w:val="28"/>
              </w:rPr>
              <w:t xml:space="preserve"> after the patent for Humira® expires in October 2018</w:t>
            </w:r>
          </w:p>
          <w:p w14:paraId="17216E6C" w14:textId="77777777" w:rsidR="00D528E3" w:rsidRPr="007156AC" w:rsidRDefault="00D528E3" w:rsidP="00742C71">
            <w:pPr>
              <w:pStyle w:val="BodyText"/>
              <w:spacing w:after="0" w:line="276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2A7ECF12" w14:textId="77777777" w:rsidR="00D528E3" w:rsidRPr="007156AC" w:rsidRDefault="00D528E3" w:rsidP="00742C71">
      <w:pPr>
        <w:pStyle w:val="BodyText"/>
        <w:spacing w:after="0" w:line="276" w:lineRule="auto"/>
        <w:rPr>
          <w:rFonts w:asciiTheme="minorHAnsi" w:hAnsiTheme="minorHAnsi" w:cs="Arial"/>
        </w:rPr>
      </w:pPr>
    </w:p>
    <w:p w14:paraId="5DDAB82F" w14:textId="77777777" w:rsidR="008D57B2" w:rsidRPr="007156AC" w:rsidRDefault="00122AEE" w:rsidP="00F331CB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7156AC">
        <w:rPr>
          <w:rFonts w:asciiTheme="minorHAnsi" w:hAnsiTheme="minorHAnsi"/>
          <w:bCs/>
          <w:color w:val="auto"/>
        </w:rPr>
        <w:t>This briefing</w:t>
      </w:r>
      <w:r w:rsidR="00177557" w:rsidRPr="007156AC">
        <w:rPr>
          <w:rFonts w:asciiTheme="minorHAnsi" w:hAnsiTheme="minorHAnsi"/>
          <w:bCs/>
          <w:color w:val="auto"/>
        </w:rPr>
        <w:t xml:space="preserve"> provide</w:t>
      </w:r>
      <w:r w:rsidRPr="007156AC">
        <w:rPr>
          <w:rFonts w:asciiTheme="minorHAnsi" w:hAnsiTheme="minorHAnsi"/>
          <w:bCs/>
          <w:color w:val="auto"/>
        </w:rPr>
        <w:t>s</w:t>
      </w:r>
      <w:r w:rsidR="0043581D" w:rsidRPr="007156AC">
        <w:rPr>
          <w:rFonts w:asciiTheme="minorHAnsi" w:hAnsiTheme="minorHAnsi"/>
          <w:bCs/>
          <w:color w:val="auto"/>
        </w:rPr>
        <w:t xml:space="preserve"> a regular </w:t>
      </w:r>
      <w:r w:rsidR="00177557" w:rsidRPr="007156AC">
        <w:rPr>
          <w:rFonts w:asciiTheme="minorHAnsi" w:hAnsiTheme="minorHAnsi"/>
          <w:bCs/>
          <w:color w:val="auto"/>
        </w:rPr>
        <w:t>update for provider trusts</w:t>
      </w:r>
      <w:r w:rsidR="009B1BEC" w:rsidRPr="007156AC">
        <w:rPr>
          <w:rFonts w:asciiTheme="minorHAnsi" w:hAnsiTheme="minorHAnsi"/>
          <w:bCs/>
          <w:color w:val="auto"/>
        </w:rPr>
        <w:t>, clinicians</w:t>
      </w:r>
      <w:r w:rsidR="00177557" w:rsidRPr="007156AC">
        <w:rPr>
          <w:rFonts w:asciiTheme="minorHAnsi" w:hAnsiTheme="minorHAnsi"/>
          <w:bCs/>
          <w:color w:val="auto"/>
        </w:rPr>
        <w:t xml:space="preserve"> and </w:t>
      </w:r>
      <w:r w:rsidR="00C0630F" w:rsidRPr="007156AC">
        <w:rPr>
          <w:rFonts w:asciiTheme="minorHAnsi" w:hAnsiTheme="minorHAnsi"/>
          <w:bCs/>
          <w:color w:val="auto"/>
        </w:rPr>
        <w:t>commissioners.</w:t>
      </w:r>
      <w:r w:rsidR="00F331CB" w:rsidRPr="007156AC">
        <w:rPr>
          <w:rFonts w:asciiTheme="minorHAnsi" w:hAnsiTheme="minorHAnsi"/>
          <w:bCs/>
          <w:color w:val="auto"/>
        </w:rPr>
        <w:t xml:space="preserve"> </w:t>
      </w:r>
      <w:r w:rsidR="00550758" w:rsidRPr="007156AC">
        <w:rPr>
          <w:rFonts w:asciiTheme="minorHAnsi" w:hAnsiTheme="minorHAnsi"/>
          <w:color w:val="auto"/>
        </w:rPr>
        <w:t xml:space="preserve">Implementing best value biological medicines </w:t>
      </w:r>
      <w:bookmarkStart w:id="0" w:name="_GoBack"/>
      <w:bookmarkEnd w:id="0"/>
      <w:r w:rsidR="00550758" w:rsidRPr="007156AC">
        <w:rPr>
          <w:rFonts w:asciiTheme="minorHAnsi" w:hAnsiTheme="minorHAnsi"/>
          <w:color w:val="auto"/>
        </w:rPr>
        <w:t>enables the NHS to continue to improve patient care and provide new treatments now and into the future. It is a key element of NHS Engl</w:t>
      </w:r>
      <w:r w:rsidR="007B42B9">
        <w:rPr>
          <w:rFonts w:asciiTheme="minorHAnsi" w:hAnsiTheme="minorHAnsi"/>
          <w:color w:val="auto"/>
        </w:rPr>
        <w:t>and’s Medicines Value Programme</w:t>
      </w:r>
      <w:r w:rsidR="00550758" w:rsidRPr="007156AC">
        <w:rPr>
          <w:rFonts w:asciiTheme="minorHAnsi" w:hAnsiTheme="minorHAnsi"/>
          <w:color w:val="auto"/>
        </w:rPr>
        <w:t>.</w:t>
      </w:r>
    </w:p>
    <w:p w14:paraId="2AD8CA54" w14:textId="77777777" w:rsidR="009E5008" w:rsidRPr="007156AC" w:rsidRDefault="009E5008" w:rsidP="00742C71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</w:p>
    <w:p w14:paraId="59D6B787" w14:textId="77777777" w:rsidR="008D57B2" w:rsidRPr="007156AC" w:rsidRDefault="0039675A" w:rsidP="00742C7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156AC">
        <w:rPr>
          <w:rFonts w:asciiTheme="minorHAnsi" w:hAnsiTheme="minorHAnsi"/>
          <w:b/>
          <w:sz w:val="24"/>
          <w:szCs w:val="24"/>
        </w:rPr>
        <w:t>S</w:t>
      </w:r>
      <w:r w:rsidR="009A10FF" w:rsidRPr="007156AC">
        <w:rPr>
          <w:rFonts w:asciiTheme="minorHAnsi" w:hAnsiTheme="minorHAnsi"/>
          <w:b/>
          <w:sz w:val="24"/>
          <w:szCs w:val="24"/>
        </w:rPr>
        <w:t>upporting</w:t>
      </w:r>
      <w:r w:rsidR="008D57B2" w:rsidRPr="007156AC">
        <w:rPr>
          <w:rFonts w:asciiTheme="minorHAnsi" w:hAnsiTheme="minorHAnsi"/>
          <w:b/>
          <w:sz w:val="24"/>
          <w:szCs w:val="24"/>
        </w:rPr>
        <w:t xml:space="preserve"> material</w:t>
      </w:r>
      <w:r w:rsidR="001D2F64" w:rsidRPr="007156AC">
        <w:rPr>
          <w:rFonts w:asciiTheme="minorHAnsi" w:hAnsiTheme="minorHAnsi"/>
          <w:b/>
          <w:sz w:val="24"/>
          <w:szCs w:val="24"/>
        </w:rPr>
        <w:t>s</w:t>
      </w:r>
      <w:r w:rsidRPr="007156AC">
        <w:rPr>
          <w:rFonts w:asciiTheme="minorHAnsi" w:hAnsiTheme="minorHAnsi"/>
          <w:b/>
          <w:sz w:val="24"/>
          <w:szCs w:val="24"/>
        </w:rPr>
        <w:t xml:space="preserve"> in one place</w:t>
      </w:r>
    </w:p>
    <w:p w14:paraId="1D4BAD08" w14:textId="2421D703" w:rsidR="008D57B2" w:rsidRPr="007156AC" w:rsidRDefault="00AE7C1A" w:rsidP="008D57B2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Supporting m</w:t>
      </w:r>
      <w:r w:rsidR="008D57B2" w:rsidRPr="007156AC">
        <w:rPr>
          <w:rFonts w:asciiTheme="minorHAnsi" w:hAnsiTheme="minorHAnsi"/>
          <w:sz w:val="24"/>
          <w:szCs w:val="24"/>
        </w:rPr>
        <w:t xml:space="preserve">aterials including previous briefings, the </w:t>
      </w:r>
      <w:hyperlink r:id="rId9" w:history="1">
        <w:r w:rsidR="008D57B2" w:rsidRPr="00A2632D">
          <w:rPr>
            <w:rStyle w:val="Hyperlink"/>
            <w:rFonts w:asciiTheme="minorHAnsi" w:hAnsiTheme="minorHAnsi"/>
            <w:sz w:val="24"/>
            <w:szCs w:val="24"/>
          </w:rPr>
          <w:t>toolkit for best value biological implementation</w:t>
        </w:r>
      </w:hyperlink>
      <w:r w:rsidR="008D57B2" w:rsidRPr="007156AC">
        <w:rPr>
          <w:rFonts w:asciiTheme="minorHAnsi" w:hAnsiTheme="minorHAnsi"/>
          <w:sz w:val="24"/>
          <w:szCs w:val="24"/>
        </w:rPr>
        <w:t xml:space="preserve"> and </w:t>
      </w:r>
      <w:hyperlink r:id="rId10" w:history="1">
        <w:r w:rsidR="009A10FF" w:rsidRPr="00A2632D">
          <w:rPr>
            <w:rStyle w:val="Hyperlink"/>
            <w:rFonts w:asciiTheme="minorHAnsi" w:hAnsiTheme="minorHAnsi"/>
            <w:sz w:val="24"/>
            <w:szCs w:val="24"/>
          </w:rPr>
          <w:t>information</w:t>
        </w:r>
        <w:r w:rsidR="008D57B2" w:rsidRPr="00A2632D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r w:rsidR="004C0D3D" w:rsidRPr="00A2632D">
          <w:rPr>
            <w:rStyle w:val="Hyperlink"/>
            <w:rFonts w:asciiTheme="minorHAnsi" w:hAnsiTheme="minorHAnsi"/>
            <w:sz w:val="24"/>
            <w:szCs w:val="24"/>
          </w:rPr>
          <w:t>re</w:t>
        </w:r>
        <w:r w:rsidR="009A10FF" w:rsidRPr="00A2632D">
          <w:rPr>
            <w:rStyle w:val="Hyperlink"/>
            <w:rFonts w:asciiTheme="minorHAnsi" w:hAnsiTheme="minorHAnsi"/>
            <w:sz w:val="24"/>
            <w:szCs w:val="24"/>
          </w:rPr>
          <w:t>sources for patients</w:t>
        </w:r>
      </w:hyperlink>
      <w:r w:rsidR="009A10FF" w:rsidRPr="007156AC">
        <w:rPr>
          <w:rFonts w:asciiTheme="minorHAnsi" w:hAnsiTheme="minorHAnsi"/>
          <w:sz w:val="24"/>
          <w:szCs w:val="24"/>
        </w:rPr>
        <w:t xml:space="preserve"> </w:t>
      </w:r>
      <w:r w:rsidR="001D2F64" w:rsidRPr="007156AC">
        <w:rPr>
          <w:rFonts w:asciiTheme="minorHAnsi" w:hAnsiTheme="minorHAnsi"/>
          <w:sz w:val="24"/>
          <w:szCs w:val="24"/>
        </w:rPr>
        <w:t xml:space="preserve">are </w:t>
      </w:r>
      <w:r w:rsidR="008D57B2" w:rsidRPr="007156AC">
        <w:rPr>
          <w:rFonts w:asciiTheme="minorHAnsi" w:hAnsiTheme="minorHAnsi"/>
          <w:sz w:val="24"/>
          <w:szCs w:val="24"/>
        </w:rPr>
        <w:t>available on the Specialist Pharmacy Service</w:t>
      </w:r>
      <w:r w:rsidR="00082064" w:rsidRPr="007156AC">
        <w:rPr>
          <w:rFonts w:asciiTheme="minorHAnsi" w:hAnsiTheme="minorHAnsi"/>
          <w:sz w:val="24"/>
          <w:szCs w:val="24"/>
        </w:rPr>
        <w:t>’s (SPS)</w:t>
      </w:r>
      <w:r w:rsidR="008D57B2" w:rsidRPr="007156AC">
        <w:rPr>
          <w:rFonts w:asciiTheme="minorHAnsi" w:hAnsiTheme="minorHAnsi"/>
          <w:sz w:val="24"/>
          <w:szCs w:val="24"/>
        </w:rPr>
        <w:t xml:space="preserve"> </w:t>
      </w:r>
      <w:r w:rsidR="008D57B2" w:rsidRPr="007D034C">
        <w:rPr>
          <w:rFonts w:asciiTheme="minorHAnsi" w:hAnsiTheme="minorHAnsi"/>
          <w:sz w:val="24"/>
          <w:szCs w:val="24"/>
        </w:rPr>
        <w:t>website:</w:t>
      </w:r>
      <w:r w:rsidR="00463BEA" w:rsidRPr="007D034C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7D034C" w:rsidRPr="00A74494">
          <w:rPr>
            <w:rStyle w:val="Hyperlink"/>
            <w:rFonts w:asciiTheme="minorHAnsi" w:hAnsiTheme="minorHAnsi"/>
            <w:sz w:val="24"/>
            <w:szCs w:val="24"/>
          </w:rPr>
          <w:t>www.sps.nhs.uk/adalimumab</w:t>
        </w:r>
      </w:hyperlink>
      <w:r w:rsidR="007D034C">
        <w:rPr>
          <w:rFonts w:asciiTheme="minorHAnsi" w:hAnsiTheme="minorHAnsi"/>
          <w:sz w:val="24"/>
          <w:szCs w:val="24"/>
        </w:rPr>
        <w:t xml:space="preserve"> </w:t>
      </w:r>
      <w:r w:rsidR="00082064" w:rsidRPr="007D034C">
        <w:rPr>
          <w:rFonts w:asciiTheme="minorHAnsi" w:hAnsiTheme="minorHAnsi"/>
          <w:sz w:val="24"/>
          <w:szCs w:val="24"/>
        </w:rPr>
        <w:t>Please</w:t>
      </w:r>
      <w:r w:rsidR="00A35BE4">
        <w:rPr>
          <w:rFonts w:asciiTheme="minorHAnsi" w:hAnsiTheme="minorHAnsi"/>
          <w:sz w:val="24"/>
          <w:szCs w:val="24"/>
        </w:rPr>
        <w:t xml:space="preserve"> register </w:t>
      </w:r>
      <w:r w:rsidR="00463BEA" w:rsidRPr="007D034C">
        <w:rPr>
          <w:rFonts w:asciiTheme="minorHAnsi" w:hAnsiTheme="minorHAnsi"/>
          <w:sz w:val="24"/>
          <w:szCs w:val="24"/>
        </w:rPr>
        <w:t xml:space="preserve">to receive </w:t>
      </w:r>
      <w:r w:rsidR="000D1194">
        <w:rPr>
          <w:rFonts w:asciiTheme="minorHAnsi" w:hAnsiTheme="minorHAnsi"/>
          <w:sz w:val="24"/>
          <w:szCs w:val="24"/>
        </w:rPr>
        <w:t xml:space="preserve">email </w:t>
      </w:r>
      <w:r w:rsidR="00463BEA" w:rsidRPr="007D034C">
        <w:rPr>
          <w:rFonts w:asciiTheme="minorHAnsi" w:hAnsiTheme="minorHAnsi"/>
          <w:sz w:val="24"/>
          <w:szCs w:val="24"/>
        </w:rPr>
        <w:t>updates</w:t>
      </w:r>
      <w:r w:rsidR="000D1194">
        <w:rPr>
          <w:rFonts w:asciiTheme="minorHAnsi" w:hAnsiTheme="minorHAnsi"/>
          <w:sz w:val="24"/>
          <w:szCs w:val="24"/>
        </w:rPr>
        <w:t>.</w:t>
      </w:r>
    </w:p>
    <w:p w14:paraId="7B39D076" w14:textId="77777777" w:rsidR="00C0630F" w:rsidRPr="007156AC" w:rsidRDefault="00C0630F" w:rsidP="00742C71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3FF46C9" w14:textId="77777777" w:rsidR="00D732E1" w:rsidRPr="007156AC" w:rsidRDefault="00644E66" w:rsidP="00742C7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156AC">
        <w:rPr>
          <w:rFonts w:asciiTheme="minorHAnsi" w:hAnsiTheme="minorHAnsi"/>
          <w:b/>
          <w:sz w:val="24"/>
          <w:szCs w:val="24"/>
        </w:rPr>
        <w:t>Procurement update</w:t>
      </w:r>
    </w:p>
    <w:p w14:paraId="07897F7E" w14:textId="42B12E8A" w:rsidR="008C7C59" w:rsidRPr="007156AC" w:rsidRDefault="008C7C59" w:rsidP="008C7C59">
      <w:pPr>
        <w:spacing w:line="276" w:lineRule="auto"/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 xml:space="preserve">The final adalimumab tender </w:t>
      </w:r>
      <w:r w:rsidR="00AE7C1A">
        <w:rPr>
          <w:rFonts w:asciiTheme="minorHAnsi" w:hAnsiTheme="minorHAnsi"/>
          <w:sz w:val="24"/>
          <w:szCs w:val="24"/>
        </w:rPr>
        <w:t xml:space="preserve">strategy </w:t>
      </w:r>
      <w:r w:rsidRPr="007156AC">
        <w:rPr>
          <w:rFonts w:asciiTheme="minorHAnsi" w:hAnsiTheme="minorHAnsi"/>
          <w:sz w:val="24"/>
          <w:szCs w:val="24"/>
        </w:rPr>
        <w:t>has been agreed. The tendering strategy is a first step towards development of a sustainable market. The main aims of th</w:t>
      </w:r>
      <w:r w:rsidR="00AE7C1A">
        <w:rPr>
          <w:rFonts w:asciiTheme="minorHAnsi" w:hAnsiTheme="minorHAnsi"/>
          <w:sz w:val="24"/>
          <w:szCs w:val="24"/>
        </w:rPr>
        <w:t xml:space="preserve">e </w:t>
      </w:r>
      <w:r w:rsidRPr="007156AC">
        <w:rPr>
          <w:rFonts w:asciiTheme="minorHAnsi" w:hAnsiTheme="minorHAnsi"/>
          <w:sz w:val="24"/>
          <w:szCs w:val="24"/>
        </w:rPr>
        <w:t xml:space="preserve">procurement are </w:t>
      </w:r>
      <w:r w:rsidR="00AE7C1A">
        <w:rPr>
          <w:rFonts w:asciiTheme="minorHAnsi" w:hAnsiTheme="minorHAnsi"/>
          <w:sz w:val="24"/>
          <w:szCs w:val="24"/>
        </w:rPr>
        <w:t xml:space="preserve">to </w:t>
      </w:r>
      <w:r w:rsidR="008A50FC">
        <w:rPr>
          <w:rFonts w:asciiTheme="minorHAnsi" w:hAnsiTheme="minorHAnsi"/>
          <w:sz w:val="24"/>
          <w:szCs w:val="24"/>
        </w:rPr>
        <w:t>achieve</w:t>
      </w:r>
      <w:r w:rsidR="00AE7C1A" w:rsidRPr="007156AC">
        <w:rPr>
          <w:rFonts w:asciiTheme="minorHAnsi" w:hAnsiTheme="minorHAnsi"/>
          <w:sz w:val="24"/>
          <w:szCs w:val="24"/>
        </w:rPr>
        <w:t xml:space="preserve"> the best possible </w:t>
      </w:r>
      <w:r w:rsidR="00AE7C1A">
        <w:rPr>
          <w:rFonts w:asciiTheme="minorHAnsi" w:hAnsiTheme="minorHAnsi"/>
          <w:sz w:val="24"/>
          <w:szCs w:val="24"/>
        </w:rPr>
        <w:t xml:space="preserve">value for the NHS, while also </w:t>
      </w:r>
      <w:r w:rsidRPr="007156AC">
        <w:rPr>
          <w:rFonts w:asciiTheme="minorHAnsi" w:hAnsiTheme="minorHAnsi"/>
          <w:sz w:val="24"/>
          <w:szCs w:val="24"/>
        </w:rPr>
        <w:t>maintain</w:t>
      </w:r>
      <w:r w:rsidR="00AE7C1A">
        <w:rPr>
          <w:rFonts w:asciiTheme="minorHAnsi" w:hAnsiTheme="minorHAnsi"/>
          <w:sz w:val="24"/>
          <w:szCs w:val="24"/>
        </w:rPr>
        <w:t>ing</w:t>
      </w:r>
      <w:r w:rsidRPr="007156AC">
        <w:rPr>
          <w:rFonts w:asciiTheme="minorHAnsi" w:hAnsiTheme="minorHAnsi"/>
          <w:sz w:val="24"/>
          <w:szCs w:val="24"/>
        </w:rPr>
        <w:t xml:space="preserve"> plurality of supply</w:t>
      </w:r>
      <w:r w:rsidR="008A50FC">
        <w:rPr>
          <w:rFonts w:asciiTheme="minorHAnsi" w:hAnsiTheme="minorHAnsi"/>
          <w:sz w:val="24"/>
          <w:szCs w:val="24"/>
        </w:rPr>
        <w:t>.</w:t>
      </w:r>
      <w:r w:rsidRPr="007156AC">
        <w:rPr>
          <w:rFonts w:asciiTheme="minorHAnsi" w:hAnsiTheme="minorHAnsi"/>
          <w:sz w:val="24"/>
          <w:szCs w:val="24"/>
        </w:rPr>
        <w:t xml:space="preserve"> The</w:t>
      </w:r>
      <w:r w:rsidR="00AE7C1A">
        <w:rPr>
          <w:rFonts w:asciiTheme="minorHAnsi" w:hAnsiTheme="minorHAnsi"/>
          <w:sz w:val="24"/>
          <w:szCs w:val="24"/>
        </w:rPr>
        <w:t xml:space="preserve"> strategy also enables </w:t>
      </w:r>
      <w:r w:rsidRPr="007156AC">
        <w:rPr>
          <w:rFonts w:asciiTheme="minorHAnsi" w:hAnsiTheme="minorHAnsi"/>
          <w:sz w:val="24"/>
          <w:szCs w:val="24"/>
        </w:rPr>
        <w:t>access to a citrate-free biosimilar product.</w:t>
      </w:r>
    </w:p>
    <w:p w14:paraId="40ECBBB2" w14:textId="77777777" w:rsidR="008C7C59" w:rsidRPr="007156AC" w:rsidRDefault="008C7C59" w:rsidP="008C7C5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4E97AF9" w14:textId="581C2B8A" w:rsidR="008C7C59" w:rsidRPr="007156AC" w:rsidRDefault="008C7C59" w:rsidP="008C7C59">
      <w:pPr>
        <w:spacing w:line="276" w:lineRule="auto"/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 xml:space="preserve">The invitation to </w:t>
      </w:r>
      <w:r w:rsidR="00AE7C1A">
        <w:rPr>
          <w:rFonts w:asciiTheme="minorHAnsi" w:hAnsiTheme="minorHAnsi"/>
          <w:sz w:val="24"/>
          <w:szCs w:val="24"/>
        </w:rPr>
        <w:t xml:space="preserve">tender </w:t>
      </w:r>
      <w:r w:rsidR="004C0D3D">
        <w:rPr>
          <w:rFonts w:asciiTheme="minorHAnsi" w:hAnsiTheme="minorHAnsi"/>
          <w:sz w:val="24"/>
          <w:szCs w:val="24"/>
        </w:rPr>
        <w:t xml:space="preserve">documentation was issued </w:t>
      </w:r>
      <w:r w:rsidRPr="007156AC">
        <w:rPr>
          <w:rFonts w:asciiTheme="minorHAnsi" w:hAnsiTheme="minorHAnsi"/>
          <w:sz w:val="24"/>
          <w:szCs w:val="24"/>
        </w:rPr>
        <w:t>on 19</w:t>
      </w:r>
      <w:r w:rsidR="00B77F4F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A3561C">
        <w:rPr>
          <w:rFonts w:asciiTheme="minorHAnsi" w:hAnsiTheme="minorHAnsi"/>
          <w:sz w:val="24"/>
          <w:szCs w:val="24"/>
        </w:rPr>
        <w:t>September and t</w:t>
      </w:r>
      <w:r w:rsidRPr="007156AC">
        <w:rPr>
          <w:rFonts w:asciiTheme="minorHAnsi" w:hAnsiTheme="minorHAnsi"/>
          <w:sz w:val="24"/>
          <w:szCs w:val="24"/>
        </w:rPr>
        <w:t xml:space="preserve">he closing date for </w:t>
      </w:r>
      <w:r w:rsidR="00AE7C1A">
        <w:rPr>
          <w:rFonts w:asciiTheme="minorHAnsi" w:hAnsiTheme="minorHAnsi"/>
          <w:sz w:val="24"/>
          <w:szCs w:val="24"/>
        </w:rPr>
        <w:t xml:space="preserve">tenders </w:t>
      </w:r>
      <w:r w:rsidRPr="007156AC">
        <w:rPr>
          <w:rFonts w:asciiTheme="minorHAnsi" w:hAnsiTheme="minorHAnsi"/>
          <w:sz w:val="24"/>
          <w:szCs w:val="24"/>
        </w:rPr>
        <w:t>is 22</w:t>
      </w:r>
      <w:r w:rsidR="00B77F4F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5C698E">
        <w:rPr>
          <w:rFonts w:asciiTheme="minorHAnsi" w:hAnsiTheme="minorHAnsi"/>
          <w:sz w:val="24"/>
          <w:szCs w:val="24"/>
        </w:rPr>
        <w:t xml:space="preserve">October. The </w:t>
      </w:r>
      <w:r w:rsidRPr="007156AC">
        <w:rPr>
          <w:rFonts w:asciiTheme="minorHAnsi" w:hAnsiTheme="minorHAnsi"/>
          <w:sz w:val="24"/>
          <w:szCs w:val="24"/>
        </w:rPr>
        <w:t xml:space="preserve">duration of the framework agreement is </w:t>
      </w:r>
      <w:r w:rsidR="00B77F4F">
        <w:rPr>
          <w:rFonts w:asciiTheme="minorHAnsi" w:hAnsiTheme="minorHAnsi"/>
          <w:sz w:val="24"/>
          <w:szCs w:val="24"/>
        </w:rPr>
        <w:t xml:space="preserve">1 </w:t>
      </w:r>
      <w:r w:rsidRPr="007156AC">
        <w:rPr>
          <w:rFonts w:asciiTheme="minorHAnsi" w:hAnsiTheme="minorHAnsi"/>
          <w:sz w:val="24"/>
          <w:szCs w:val="24"/>
        </w:rPr>
        <w:t>December 2018 to 30</w:t>
      </w:r>
      <w:r w:rsidR="00B77F4F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156AC">
        <w:rPr>
          <w:rFonts w:asciiTheme="minorHAnsi" w:hAnsiTheme="minorHAnsi"/>
          <w:sz w:val="24"/>
          <w:szCs w:val="24"/>
        </w:rPr>
        <w:t>November 2019 with options to extend for up</w:t>
      </w:r>
      <w:r w:rsidR="005C698E">
        <w:rPr>
          <w:rFonts w:asciiTheme="minorHAnsi" w:hAnsiTheme="minorHAnsi"/>
          <w:sz w:val="24"/>
          <w:szCs w:val="24"/>
        </w:rPr>
        <w:t xml:space="preserve"> </w:t>
      </w:r>
      <w:r w:rsidR="00B77F4F">
        <w:rPr>
          <w:rFonts w:asciiTheme="minorHAnsi" w:hAnsiTheme="minorHAnsi"/>
          <w:sz w:val="24"/>
          <w:szCs w:val="24"/>
        </w:rPr>
        <w:t xml:space="preserve">to </w:t>
      </w:r>
      <w:r w:rsidRPr="007156AC">
        <w:rPr>
          <w:rFonts w:asciiTheme="minorHAnsi" w:hAnsiTheme="minorHAnsi"/>
          <w:sz w:val="24"/>
          <w:szCs w:val="24"/>
        </w:rPr>
        <w:t>24 months.</w:t>
      </w:r>
    </w:p>
    <w:p w14:paraId="1C1F7E19" w14:textId="77777777" w:rsidR="008C7C59" w:rsidRPr="007156AC" w:rsidRDefault="008C7C59" w:rsidP="008C7C5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383B116" w14:textId="6BD0317E" w:rsidR="008C7C59" w:rsidRDefault="005C698E" w:rsidP="008C7C59">
      <w:pPr>
        <w:spacing w:line="276" w:lineRule="auto"/>
        <w:rPr>
          <w:rFonts w:asciiTheme="minorHAnsi" w:hAnsiTheme="minorHAnsi"/>
          <w:sz w:val="24"/>
          <w:szCs w:val="24"/>
        </w:rPr>
      </w:pPr>
      <w:r w:rsidRPr="00A3561C">
        <w:rPr>
          <w:rFonts w:asciiTheme="minorHAnsi" w:hAnsiTheme="minorHAnsi"/>
          <w:sz w:val="24"/>
          <w:szCs w:val="24"/>
        </w:rPr>
        <w:t xml:space="preserve">The </w:t>
      </w:r>
      <w:r w:rsidR="00AE7C1A">
        <w:rPr>
          <w:rFonts w:asciiTheme="minorHAnsi" w:hAnsiTheme="minorHAnsi"/>
          <w:sz w:val="24"/>
          <w:szCs w:val="24"/>
        </w:rPr>
        <w:t xml:space="preserve">strategy includes a </w:t>
      </w:r>
      <w:r w:rsidR="008C7C59" w:rsidRPr="00A3561C">
        <w:rPr>
          <w:rFonts w:asciiTheme="minorHAnsi" w:hAnsiTheme="minorHAnsi"/>
          <w:sz w:val="24"/>
          <w:szCs w:val="24"/>
        </w:rPr>
        <w:t>biosimilars element</w:t>
      </w:r>
      <w:r w:rsidR="00AE7C1A">
        <w:rPr>
          <w:rFonts w:asciiTheme="minorHAnsi" w:hAnsiTheme="minorHAnsi"/>
          <w:sz w:val="24"/>
          <w:szCs w:val="24"/>
        </w:rPr>
        <w:t xml:space="preserve">, which will be </w:t>
      </w:r>
      <w:r w:rsidR="008C7C59" w:rsidRPr="00A3561C">
        <w:rPr>
          <w:rFonts w:asciiTheme="minorHAnsi" w:hAnsiTheme="minorHAnsi"/>
          <w:sz w:val="24"/>
          <w:szCs w:val="24"/>
        </w:rPr>
        <w:t>awarded as four lots</w:t>
      </w:r>
      <w:r w:rsidR="00AE7C1A">
        <w:rPr>
          <w:rFonts w:asciiTheme="minorHAnsi" w:hAnsiTheme="minorHAnsi"/>
          <w:sz w:val="24"/>
          <w:szCs w:val="24"/>
        </w:rPr>
        <w:t>. This strategy is</w:t>
      </w:r>
      <w:r w:rsidR="008C7C59" w:rsidRPr="00A3561C">
        <w:rPr>
          <w:rFonts w:asciiTheme="minorHAnsi" w:hAnsiTheme="minorHAnsi"/>
          <w:sz w:val="24"/>
          <w:szCs w:val="24"/>
        </w:rPr>
        <w:t xml:space="preserve"> based on the assumption that there will be four biosimilar products </w:t>
      </w:r>
      <w:r w:rsidR="00AE7C1A">
        <w:rPr>
          <w:rFonts w:asciiTheme="minorHAnsi" w:hAnsiTheme="minorHAnsi"/>
          <w:sz w:val="24"/>
          <w:szCs w:val="24"/>
        </w:rPr>
        <w:t xml:space="preserve">and four bids </w:t>
      </w:r>
      <w:r w:rsidR="008C7C59" w:rsidRPr="00A3561C">
        <w:rPr>
          <w:rFonts w:asciiTheme="minorHAnsi" w:hAnsiTheme="minorHAnsi"/>
          <w:sz w:val="24"/>
          <w:szCs w:val="24"/>
        </w:rPr>
        <w:t>by 1</w:t>
      </w:r>
      <w:r w:rsidR="00B27389" w:rsidRPr="00A3561C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8C7C59" w:rsidRPr="00A3561C">
        <w:rPr>
          <w:rFonts w:asciiTheme="minorHAnsi" w:hAnsiTheme="minorHAnsi"/>
          <w:sz w:val="24"/>
          <w:szCs w:val="24"/>
        </w:rPr>
        <w:t>December</w:t>
      </w:r>
      <w:r w:rsidR="00AE7C1A">
        <w:rPr>
          <w:rFonts w:asciiTheme="minorHAnsi" w:hAnsiTheme="minorHAnsi"/>
          <w:sz w:val="24"/>
          <w:szCs w:val="24"/>
        </w:rPr>
        <w:t xml:space="preserve">. </w:t>
      </w:r>
      <w:r w:rsidR="008C7C59" w:rsidRPr="00A3561C">
        <w:rPr>
          <w:sz w:val="24"/>
          <w:szCs w:val="24"/>
        </w:rPr>
        <w:t>If only three offers are received</w:t>
      </w:r>
      <w:r w:rsidR="00AE7C1A">
        <w:rPr>
          <w:sz w:val="24"/>
          <w:szCs w:val="24"/>
        </w:rPr>
        <w:t xml:space="preserve">, then three lots will </w:t>
      </w:r>
      <w:r w:rsidR="008C7C59" w:rsidRPr="00A3561C">
        <w:rPr>
          <w:sz w:val="24"/>
          <w:szCs w:val="24"/>
        </w:rPr>
        <w:t>be awarded as three distinct lots and so on.</w:t>
      </w:r>
      <w:r w:rsidR="00B67C6B">
        <w:rPr>
          <w:sz w:val="24"/>
          <w:szCs w:val="24"/>
        </w:rPr>
        <w:t xml:space="preserve"> </w:t>
      </w:r>
      <w:r w:rsidR="00AE7C1A">
        <w:rPr>
          <w:sz w:val="24"/>
          <w:szCs w:val="24"/>
        </w:rPr>
        <w:t xml:space="preserve">The size and shape of </w:t>
      </w:r>
      <w:r w:rsidR="00AE7C1A">
        <w:rPr>
          <w:rFonts w:asciiTheme="minorHAnsi" w:hAnsiTheme="minorHAnsi"/>
          <w:sz w:val="24"/>
          <w:szCs w:val="24"/>
        </w:rPr>
        <w:t>e</w:t>
      </w:r>
      <w:r w:rsidR="008C7C59" w:rsidRPr="007156AC">
        <w:rPr>
          <w:rFonts w:asciiTheme="minorHAnsi" w:hAnsiTheme="minorHAnsi"/>
          <w:sz w:val="24"/>
          <w:szCs w:val="24"/>
        </w:rPr>
        <w:t xml:space="preserve">ach lot will depend on the offers received and the </w:t>
      </w:r>
      <w:r w:rsidR="00AE7C1A">
        <w:rPr>
          <w:rFonts w:asciiTheme="minorHAnsi" w:hAnsiTheme="minorHAnsi"/>
          <w:sz w:val="24"/>
          <w:szCs w:val="24"/>
        </w:rPr>
        <w:t xml:space="preserve">relative prices. </w:t>
      </w:r>
    </w:p>
    <w:p w14:paraId="225335BB" w14:textId="77777777" w:rsidR="008A50FC" w:rsidRPr="007156AC" w:rsidRDefault="008A50FC" w:rsidP="008C7C5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E2D72FC" w14:textId="17E24066" w:rsidR="008C7C59" w:rsidRPr="007156AC" w:rsidRDefault="00AE7C1A" w:rsidP="008C7C5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Lots </w:t>
      </w:r>
      <w:r w:rsidR="008C7C59" w:rsidRPr="007156AC">
        <w:rPr>
          <w:rFonts w:asciiTheme="minorHAnsi" w:hAnsiTheme="minorHAnsi"/>
          <w:sz w:val="24"/>
          <w:szCs w:val="24"/>
        </w:rPr>
        <w:t>allocated a biosimilar which contain</w:t>
      </w:r>
      <w:r w:rsidR="00B27389">
        <w:rPr>
          <w:rFonts w:asciiTheme="minorHAnsi" w:hAnsiTheme="minorHAnsi"/>
          <w:sz w:val="24"/>
          <w:szCs w:val="24"/>
        </w:rPr>
        <w:t>s citrate as their first choice</w:t>
      </w:r>
      <w:r w:rsidR="008C7C59" w:rsidRPr="007156AC">
        <w:rPr>
          <w:rFonts w:asciiTheme="minorHAnsi" w:hAnsiTheme="minorHAnsi"/>
          <w:sz w:val="24"/>
          <w:szCs w:val="24"/>
        </w:rPr>
        <w:t xml:space="preserve"> will also have access to a citrate-free option as a second choice</w:t>
      </w:r>
      <w:r w:rsidR="00B27389">
        <w:rPr>
          <w:rFonts w:asciiTheme="minorHAnsi" w:hAnsiTheme="minorHAnsi"/>
          <w:sz w:val="24"/>
          <w:szCs w:val="24"/>
        </w:rPr>
        <w:t>.</w:t>
      </w:r>
    </w:p>
    <w:p w14:paraId="20A0E6CB" w14:textId="77777777" w:rsidR="008C7C59" w:rsidRPr="007156AC" w:rsidRDefault="008C7C59" w:rsidP="008C7C5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7C2CAE4" w14:textId="6D41195A" w:rsidR="008C7C59" w:rsidRPr="007156AC" w:rsidRDefault="008C7C59" w:rsidP="009A0405">
      <w:pPr>
        <w:spacing w:line="276" w:lineRule="auto"/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lastRenderedPageBreak/>
        <w:t>Th</w:t>
      </w:r>
      <w:r w:rsidR="00AE7C1A">
        <w:rPr>
          <w:rFonts w:asciiTheme="minorHAnsi" w:hAnsiTheme="minorHAnsi"/>
          <w:sz w:val="24"/>
          <w:szCs w:val="24"/>
        </w:rPr>
        <w:t xml:space="preserve">e strategy </w:t>
      </w:r>
      <w:r w:rsidRPr="007156AC">
        <w:rPr>
          <w:rFonts w:asciiTheme="minorHAnsi" w:hAnsiTheme="minorHAnsi"/>
          <w:sz w:val="24"/>
          <w:szCs w:val="24"/>
        </w:rPr>
        <w:t xml:space="preserve">means that no supplier of adalimumab will be awarded the whole market but </w:t>
      </w:r>
      <w:r w:rsidR="00AE7C1A">
        <w:rPr>
          <w:rFonts w:asciiTheme="minorHAnsi" w:hAnsiTheme="minorHAnsi"/>
          <w:sz w:val="24"/>
          <w:szCs w:val="24"/>
        </w:rPr>
        <w:t xml:space="preserve">will have </w:t>
      </w:r>
      <w:r w:rsidRPr="007156AC">
        <w:rPr>
          <w:rFonts w:asciiTheme="minorHAnsi" w:hAnsiTheme="minorHAnsi"/>
          <w:sz w:val="24"/>
          <w:szCs w:val="24"/>
        </w:rPr>
        <w:t xml:space="preserve">a strong incentive to offer their best price at the point of tender. If all tendered prices are </w:t>
      </w:r>
      <w:r w:rsidR="00AE7C1A">
        <w:rPr>
          <w:rFonts w:asciiTheme="minorHAnsi" w:hAnsiTheme="minorHAnsi"/>
          <w:sz w:val="24"/>
          <w:szCs w:val="24"/>
        </w:rPr>
        <w:t xml:space="preserve">similar, </w:t>
      </w:r>
      <w:r w:rsidR="004C0D3D">
        <w:rPr>
          <w:rFonts w:asciiTheme="minorHAnsi" w:hAnsiTheme="minorHAnsi"/>
          <w:sz w:val="24"/>
          <w:szCs w:val="24"/>
        </w:rPr>
        <w:t xml:space="preserve">the </w:t>
      </w:r>
      <w:r w:rsidRPr="007156AC">
        <w:rPr>
          <w:rFonts w:asciiTheme="minorHAnsi" w:hAnsiTheme="minorHAnsi"/>
          <w:sz w:val="24"/>
          <w:szCs w:val="24"/>
        </w:rPr>
        <w:t xml:space="preserve">shares awarded will </w:t>
      </w:r>
      <w:r w:rsidR="00AE7C1A">
        <w:rPr>
          <w:rFonts w:asciiTheme="minorHAnsi" w:hAnsiTheme="minorHAnsi"/>
          <w:sz w:val="24"/>
          <w:szCs w:val="24"/>
        </w:rPr>
        <w:t>on an equitable basis</w:t>
      </w:r>
      <w:r w:rsidRPr="007156AC">
        <w:rPr>
          <w:rFonts w:asciiTheme="minorHAnsi" w:hAnsiTheme="minorHAnsi"/>
          <w:sz w:val="24"/>
          <w:szCs w:val="24"/>
        </w:rPr>
        <w:t xml:space="preserve">. If </w:t>
      </w:r>
      <w:r w:rsidR="00AE7C1A">
        <w:rPr>
          <w:rFonts w:asciiTheme="minorHAnsi" w:hAnsiTheme="minorHAnsi"/>
          <w:sz w:val="24"/>
          <w:szCs w:val="24"/>
        </w:rPr>
        <w:t xml:space="preserve">there are price differentials, </w:t>
      </w:r>
      <w:r w:rsidRPr="007156AC">
        <w:rPr>
          <w:rFonts w:asciiTheme="minorHAnsi" w:hAnsiTheme="minorHAnsi"/>
          <w:sz w:val="24"/>
          <w:szCs w:val="24"/>
        </w:rPr>
        <w:t xml:space="preserve">awarded shares will be higher for the most competitively priced suppliers, but all suppliers will get access to at least some of the market upon receipt of a compliant bid to avoid dominance.  </w:t>
      </w:r>
    </w:p>
    <w:p w14:paraId="66EE822A" w14:textId="77777777" w:rsidR="008C7C59" w:rsidRPr="007156AC" w:rsidRDefault="008C7C59" w:rsidP="009A040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7047054" w14:textId="5EF10CA3" w:rsidR="008C7C59" w:rsidRDefault="008C7C59" w:rsidP="009A0405">
      <w:pPr>
        <w:spacing w:line="276" w:lineRule="auto"/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>The branded adalimumab product Humira</w:t>
      </w:r>
      <w:r w:rsidR="00711C23" w:rsidRPr="007156AC">
        <w:rPr>
          <w:rFonts w:asciiTheme="minorHAnsi" w:hAnsiTheme="minorHAnsi" w:cs="Arial"/>
          <w:sz w:val="28"/>
          <w:szCs w:val="28"/>
        </w:rPr>
        <w:t>®</w:t>
      </w:r>
      <w:r w:rsidRPr="007156AC">
        <w:rPr>
          <w:rFonts w:asciiTheme="minorHAnsi" w:hAnsiTheme="minorHAnsi"/>
          <w:sz w:val="24"/>
          <w:szCs w:val="24"/>
        </w:rPr>
        <w:t xml:space="preserve"> will be a separate</w:t>
      </w:r>
      <w:r w:rsidR="009A0405">
        <w:rPr>
          <w:rFonts w:asciiTheme="minorHAnsi" w:hAnsiTheme="minorHAnsi"/>
          <w:sz w:val="24"/>
          <w:szCs w:val="24"/>
        </w:rPr>
        <w:t xml:space="preserve"> line in the tender and subject </w:t>
      </w:r>
      <w:r w:rsidRPr="007156AC">
        <w:rPr>
          <w:rFonts w:asciiTheme="minorHAnsi" w:hAnsiTheme="minorHAnsi"/>
          <w:sz w:val="24"/>
          <w:szCs w:val="24"/>
        </w:rPr>
        <w:t>to receipt of a compliant bid</w:t>
      </w:r>
      <w:r w:rsidR="005C698E">
        <w:rPr>
          <w:rFonts w:asciiTheme="minorHAnsi" w:hAnsiTheme="minorHAnsi"/>
          <w:sz w:val="24"/>
          <w:szCs w:val="24"/>
        </w:rPr>
        <w:t>. A</w:t>
      </w:r>
      <w:r w:rsidRPr="007156AC">
        <w:rPr>
          <w:rFonts w:asciiTheme="minorHAnsi" w:hAnsiTheme="minorHAnsi"/>
          <w:sz w:val="24"/>
          <w:szCs w:val="24"/>
        </w:rPr>
        <w:t xml:space="preserve">ll </w:t>
      </w:r>
      <w:r w:rsidR="00F2127D">
        <w:rPr>
          <w:rFonts w:asciiTheme="minorHAnsi" w:hAnsiTheme="minorHAnsi"/>
          <w:sz w:val="24"/>
          <w:szCs w:val="24"/>
        </w:rPr>
        <w:t xml:space="preserve">the lots </w:t>
      </w:r>
      <w:r w:rsidRPr="007156AC">
        <w:rPr>
          <w:rFonts w:asciiTheme="minorHAnsi" w:hAnsiTheme="minorHAnsi"/>
          <w:sz w:val="24"/>
          <w:szCs w:val="24"/>
        </w:rPr>
        <w:t>will have a</w:t>
      </w:r>
      <w:r w:rsidR="005C698E">
        <w:rPr>
          <w:rFonts w:asciiTheme="minorHAnsi" w:hAnsiTheme="minorHAnsi"/>
          <w:sz w:val="24"/>
          <w:szCs w:val="24"/>
        </w:rPr>
        <w:t>ccess to the terms submitted.</w:t>
      </w:r>
      <w:r w:rsidR="00A3561C">
        <w:rPr>
          <w:rFonts w:asciiTheme="minorHAnsi" w:hAnsiTheme="minorHAnsi"/>
          <w:sz w:val="24"/>
          <w:szCs w:val="24"/>
        </w:rPr>
        <w:t xml:space="preserve"> </w:t>
      </w:r>
      <w:r w:rsidRPr="007156AC">
        <w:rPr>
          <w:rFonts w:asciiTheme="minorHAnsi" w:hAnsiTheme="minorHAnsi"/>
          <w:sz w:val="24"/>
          <w:szCs w:val="24"/>
        </w:rPr>
        <w:t>With regard to t</w:t>
      </w:r>
      <w:r w:rsidR="005D4D6A">
        <w:rPr>
          <w:rFonts w:asciiTheme="minorHAnsi" w:hAnsiTheme="minorHAnsi"/>
          <w:sz w:val="24"/>
          <w:szCs w:val="24"/>
        </w:rPr>
        <w:t>he 20mg presentation</w:t>
      </w:r>
      <w:r w:rsidR="00153227">
        <w:rPr>
          <w:rFonts w:asciiTheme="minorHAnsi" w:hAnsiTheme="minorHAnsi"/>
          <w:sz w:val="24"/>
          <w:szCs w:val="24"/>
        </w:rPr>
        <w:t>, u</w:t>
      </w:r>
      <w:r w:rsidRPr="007156AC">
        <w:rPr>
          <w:rFonts w:asciiTheme="minorHAnsi" w:hAnsiTheme="minorHAnsi"/>
          <w:sz w:val="24"/>
          <w:szCs w:val="24"/>
        </w:rPr>
        <w:t>pon receipt of compliant bids</w:t>
      </w:r>
      <w:r w:rsidR="00ED5C7F">
        <w:rPr>
          <w:rFonts w:asciiTheme="minorHAnsi" w:hAnsiTheme="minorHAnsi"/>
          <w:sz w:val="24"/>
          <w:szCs w:val="24"/>
        </w:rPr>
        <w:t>,</w:t>
      </w:r>
      <w:r w:rsidRPr="007156AC">
        <w:rPr>
          <w:rFonts w:asciiTheme="minorHAnsi" w:hAnsiTheme="minorHAnsi"/>
          <w:sz w:val="24"/>
          <w:szCs w:val="24"/>
        </w:rPr>
        <w:t xml:space="preserve"> an award will be made </w:t>
      </w:r>
      <w:r w:rsidR="007D62FB">
        <w:rPr>
          <w:rFonts w:asciiTheme="minorHAnsi" w:hAnsiTheme="minorHAnsi"/>
          <w:sz w:val="24"/>
          <w:szCs w:val="24"/>
        </w:rPr>
        <w:t xml:space="preserve">for </w:t>
      </w:r>
      <w:r w:rsidR="007D62FB" w:rsidRPr="00BA5CE3">
        <w:rPr>
          <w:rFonts w:asciiTheme="minorHAnsi" w:hAnsiTheme="minorHAnsi"/>
          <w:sz w:val="24"/>
          <w:szCs w:val="24"/>
        </w:rPr>
        <w:t>a choice of products</w:t>
      </w:r>
      <w:r w:rsidRPr="007156AC">
        <w:rPr>
          <w:rFonts w:asciiTheme="minorHAnsi" w:hAnsiTheme="minorHAnsi"/>
          <w:sz w:val="24"/>
          <w:szCs w:val="24"/>
        </w:rPr>
        <w:t xml:space="preserve"> for all regions.</w:t>
      </w:r>
    </w:p>
    <w:p w14:paraId="30563603" w14:textId="77777777" w:rsidR="008C7C59" w:rsidRPr="007156AC" w:rsidRDefault="008C7C59" w:rsidP="009A040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662CF5A" w14:textId="77777777" w:rsidR="002569C5" w:rsidRDefault="008C7C59" w:rsidP="009A0405">
      <w:pPr>
        <w:spacing w:line="276" w:lineRule="auto"/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>As part</w:t>
      </w:r>
      <w:r w:rsidR="00AE42B6">
        <w:rPr>
          <w:rFonts w:asciiTheme="minorHAnsi" w:hAnsiTheme="minorHAnsi"/>
          <w:sz w:val="24"/>
          <w:szCs w:val="24"/>
        </w:rPr>
        <w:t xml:space="preserve"> of the</w:t>
      </w:r>
      <w:r w:rsidRPr="007156AC">
        <w:rPr>
          <w:rFonts w:asciiTheme="minorHAnsi" w:hAnsiTheme="minorHAnsi"/>
          <w:sz w:val="24"/>
          <w:szCs w:val="24"/>
        </w:rPr>
        <w:t xml:space="preserve"> award process</w:t>
      </w:r>
      <w:r w:rsidR="005C698E">
        <w:rPr>
          <w:rFonts w:asciiTheme="minorHAnsi" w:hAnsiTheme="minorHAnsi"/>
          <w:sz w:val="24"/>
          <w:szCs w:val="24"/>
        </w:rPr>
        <w:t>, companie</w:t>
      </w:r>
      <w:r w:rsidRPr="007156AC">
        <w:rPr>
          <w:rFonts w:asciiTheme="minorHAnsi" w:hAnsiTheme="minorHAnsi"/>
          <w:sz w:val="24"/>
          <w:szCs w:val="24"/>
        </w:rPr>
        <w:t xml:space="preserve">s will be notified </w:t>
      </w:r>
      <w:r w:rsidR="00711C23">
        <w:rPr>
          <w:rFonts w:asciiTheme="minorHAnsi" w:hAnsiTheme="minorHAnsi"/>
          <w:sz w:val="24"/>
          <w:szCs w:val="24"/>
        </w:rPr>
        <w:t xml:space="preserve">to </w:t>
      </w:r>
      <w:r w:rsidRPr="007156AC">
        <w:rPr>
          <w:rFonts w:asciiTheme="minorHAnsi" w:hAnsiTheme="minorHAnsi"/>
          <w:sz w:val="24"/>
          <w:szCs w:val="24"/>
        </w:rPr>
        <w:t>which r</w:t>
      </w:r>
      <w:r w:rsidR="00711C23">
        <w:rPr>
          <w:rFonts w:asciiTheme="minorHAnsi" w:hAnsiTheme="minorHAnsi"/>
          <w:sz w:val="24"/>
          <w:szCs w:val="24"/>
        </w:rPr>
        <w:t>egions they have been awarded</w:t>
      </w:r>
      <w:r w:rsidRPr="007156AC">
        <w:rPr>
          <w:rFonts w:asciiTheme="minorHAnsi" w:hAnsiTheme="minorHAnsi"/>
          <w:sz w:val="24"/>
          <w:szCs w:val="24"/>
        </w:rPr>
        <w:t xml:space="preserve">.  It is anticipated </w:t>
      </w:r>
      <w:r w:rsidR="005C698E">
        <w:rPr>
          <w:rFonts w:asciiTheme="minorHAnsi" w:hAnsiTheme="minorHAnsi"/>
          <w:sz w:val="24"/>
          <w:szCs w:val="24"/>
        </w:rPr>
        <w:t xml:space="preserve">that </w:t>
      </w:r>
      <w:r w:rsidRPr="007156AC">
        <w:rPr>
          <w:rFonts w:asciiTheme="minorHAnsi" w:hAnsiTheme="minorHAnsi"/>
          <w:sz w:val="24"/>
          <w:szCs w:val="24"/>
        </w:rPr>
        <w:t>this process will be completed by 1</w:t>
      </w:r>
      <w:r w:rsidR="00711C23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7156AC">
        <w:rPr>
          <w:rFonts w:asciiTheme="minorHAnsi" w:hAnsiTheme="minorHAnsi"/>
          <w:sz w:val="24"/>
          <w:szCs w:val="24"/>
        </w:rPr>
        <w:t>November</w:t>
      </w:r>
      <w:r w:rsidR="005C698E">
        <w:rPr>
          <w:rFonts w:asciiTheme="minorHAnsi" w:hAnsiTheme="minorHAnsi"/>
          <w:sz w:val="24"/>
          <w:szCs w:val="24"/>
        </w:rPr>
        <w:t>.</w:t>
      </w:r>
      <w:r w:rsidRPr="007156AC">
        <w:rPr>
          <w:rFonts w:asciiTheme="minorHAnsi" w:hAnsiTheme="minorHAnsi"/>
          <w:sz w:val="24"/>
          <w:szCs w:val="24"/>
        </w:rPr>
        <w:t xml:space="preserve"> After a mandatory</w:t>
      </w:r>
      <w:r w:rsidR="005C698E">
        <w:rPr>
          <w:rFonts w:asciiTheme="minorHAnsi" w:hAnsiTheme="minorHAnsi"/>
          <w:sz w:val="24"/>
          <w:szCs w:val="24"/>
        </w:rPr>
        <w:t xml:space="preserve"> </w:t>
      </w:r>
      <w:r w:rsidRPr="007156AC">
        <w:rPr>
          <w:rFonts w:asciiTheme="minorHAnsi" w:hAnsiTheme="minorHAnsi"/>
          <w:sz w:val="24"/>
          <w:szCs w:val="24"/>
        </w:rPr>
        <w:t>10</w:t>
      </w:r>
      <w:r w:rsidR="00711C23">
        <w:rPr>
          <w:rFonts w:asciiTheme="minorHAnsi" w:hAnsiTheme="minorHAnsi"/>
          <w:sz w:val="24"/>
          <w:szCs w:val="24"/>
        </w:rPr>
        <w:t>-</w:t>
      </w:r>
      <w:r w:rsidRPr="007156AC">
        <w:rPr>
          <w:rFonts w:asciiTheme="minorHAnsi" w:hAnsiTheme="minorHAnsi"/>
          <w:sz w:val="24"/>
          <w:szCs w:val="24"/>
        </w:rPr>
        <w:t xml:space="preserve">day standstill period, the details of </w:t>
      </w:r>
      <w:r w:rsidR="005C698E">
        <w:rPr>
          <w:rFonts w:asciiTheme="minorHAnsi" w:hAnsiTheme="minorHAnsi"/>
          <w:sz w:val="24"/>
          <w:szCs w:val="24"/>
        </w:rPr>
        <w:t>the award</w:t>
      </w:r>
      <w:r w:rsidRPr="007156AC">
        <w:rPr>
          <w:rFonts w:asciiTheme="minorHAnsi" w:hAnsiTheme="minorHAnsi"/>
          <w:sz w:val="24"/>
          <w:szCs w:val="24"/>
        </w:rPr>
        <w:t>s will be shared with the wider NHS</w:t>
      </w:r>
      <w:r w:rsidR="004C0D3D">
        <w:rPr>
          <w:rFonts w:asciiTheme="minorHAnsi" w:hAnsiTheme="minorHAnsi"/>
          <w:sz w:val="24"/>
          <w:szCs w:val="24"/>
        </w:rPr>
        <w:t xml:space="preserve"> (</w:t>
      </w:r>
      <w:r w:rsidR="005C698E">
        <w:rPr>
          <w:rFonts w:asciiTheme="minorHAnsi" w:hAnsiTheme="minorHAnsi"/>
          <w:sz w:val="24"/>
          <w:szCs w:val="24"/>
        </w:rPr>
        <w:t>around 11 November)</w:t>
      </w:r>
      <w:r w:rsidRPr="007156AC">
        <w:rPr>
          <w:rFonts w:asciiTheme="minorHAnsi" w:hAnsiTheme="minorHAnsi"/>
          <w:sz w:val="24"/>
          <w:szCs w:val="24"/>
        </w:rPr>
        <w:t>.</w:t>
      </w:r>
    </w:p>
    <w:p w14:paraId="47B9ADB9" w14:textId="77777777" w:rsidR="00F2127D" w:rsidRDefault="00F2127D" w:rsidP="002569C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A22375E" w14:textId="313D178E" w:rsidR="00F2127D" w:rsidRDefault="00F2127D" w:rsidP="002569C5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Suppliers may </w:t>
      </w:r>
      <w:r w:rsidR="002D0FC0">
        <w:rPr>
          <w:rFonts w:asciiTheme="minorHAnsi" w:hAnsiTheme="minorHAnsi"/>
          <w:sz w:val="24"/>
          <w:szCs w:val="24"/>
        </w:rPr>
        <w:t>offer</w:t>
      </w:r>
      <w:r>
        <w:rPr>
          <w:rFonts w:asciiTheme="minorHAnsi" w:hAnsiTheme="minorHAnsi"/>
          <w:sz w:val="24"/>
          <w:szCs w:val="24"/>
        </w:rPr>
        <w:t xml:space="preserve"> early </w:t>
      </w:r>
      <w:r w:rsidRPr="00322294">
        <w:rPr>
          <w:rFonts w:asciiTheme="minorHAnsi" w:hAnsiTheme="minorHAnsi"/>
          <w:sz w:val="24"/>
          <w:szCs w:val="24"/>
        </w:rPr>
        <w:t>discounts that could be put in place before the tendered prices become available. We advise trusts not to sign up to these, or make any firm commitments</w:t>
      </w:r>
      <w:r>
        <w:rPr>
          <w:rFonts w:asciiTheme="minorHAnsi" w:hAnsiTheme="minorHAnsi"/>
          <w:sz w:val="24"/>
          <w:szCs w:val="24"/>
        </w:rPr>
        <w:t>,</w:t>
      </w:r>
      <w:r w:rsidRPr="00322294">
        <w:rPr>
          <w:rFonts w:asciiTheme="minorHAnsi" w:hAnsiTheme="minorHAnsi"/>
          <w:sz w:val="24"/>
          <w:szCs w:val="24"/>
        </w:rPr>
        <w:t xml:space="preserve"> until </w:t>
      </w:r>
      <w:r w:rsidR="002D0FC0">
        <w:rPr>
          <w:rFonts w:asciiTheme="minorHAnsi" w:hAnsiTheme="minorHAnsi"/>
          <w:sz w:val="24"/>
          <w:szCs w:val="24"/>
        </w:rPr>
        <w:t>details of</w:t>
      </w:r>
      <w:r w:rsidRPr="00322294">
        <w:rPr>
          <w:rFonts w:asciiTheme="minorHAnsi" w:hAnsiTheme="minorHAnsi"/>
          <w:sz w:val="24"/>
          <w:szCs w:val="24"/>
        </w:rPr>
        <w:t xml:space="preserve"> tender outcomes</w:t>
      </w:r>
      <w:r>
        <w:rPr>
          <w:rFonts w:asciiTheme="minorHAnsi" w:hAnsiTheme="minorHAnsi"/>
          <w:sz w:val="24"/>
          <w:szCs w:val="24"/>
        </w:rPr>
        <w:t xml:space="preserve"> are available</w:t>
      </w:r>
      <w:r w:rsidRPr="00322294">
        <w:rPr>
          <w:rFonts w:asciiTheme="minorHAnsi" w:hAnsiTheme="minorHAnsi"/>
          <w:sz w:val="24"/>
          <w:szCs w:val="24"/>
        </w:rPr>
        <w:t xml:space="preserve">, as </w:t>
      </w:r>
      <w:r>
        <w:rPr>
          <w:rFonts w:asciiTheme="minorHAnsi" w:hAnsiTheme="minorHAnsi"/>
          <w:sz w:val="24"/>
          <w:szCs w:val="24"/>
        </w:rPr>
        <w:t xml:space="preserve">it will be important </w:t>
      </w:r>
      <w:r w:rsidR="002D0FC0">
        <w:rPr>
          <w:rFonts w:asciiTheme="minorHAnsi" w:hAnsiTheme="minorHAnsi"/>
          <w:sz w:val="24"/>
          <w:szCs w:val="24"/>
        </w:rPr>
        <w:t xml:space="preserve">not </w:t>
      </w:r>
      <w:r w:rsidRPr="00322294">
        <w:rPr>
          <w:rFonts w:asciiTheme="minorHAnsi" w:hAnsiTheme="minorHAnsi"/>
          <w:sz w:val="24"/>
          <w:szCs w:val="24"/>
        </w:rPr>
        <w:t>to encourage repeated switching of patients within the space of a few months.</w:t>
      </w:r>
    </w:p>
    <w:p w14:paraId="0DB318FF" w14:textId="77777777" w:rsidR="00322294" w:rsidRPr="007156AC" w:rsidRDefault="00322294" w:rsidP="002569C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AD2AE41" w14:textId="77777777" w:rsidR="003D1D6D" w:rsidRPr="007156AC" w:rsidRDefault="00CF1119" w:rsidP="00BD0DD9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System </w:t>
      </w:r>
      <w:r w:rsidR="00711C23">
        <w:rPr>
          <w:rFonts w:asciiTheme="minorHAnsi" w:hAnsiTheme="minorHAnsi"/>
          <w:b/>
          <w:sz w:val="24"/>
          <w:szCs w:val="24"/>
        </w:rPr>
        <w:t>i</w:t>
      </w:r>
      <w:r w:rsidR="003D1D6D" w:rsidRPr="007156AC">
        <w:rPr>
          <w:rFonts w:asciiTheme="minorHAnsi" w:hAnsiTheme="minorHAnsi"/>
          <w:b/>
          <w:sz w:val="24"/>
          <w:szCs w:val="24"/>
        </w:rPr>
        <w:t>ncentives</w:t>
      </w:r>
    </w:p>
    <w:p w14:paraId="6F73AF41" w14:textId="3D910CCA" w:rsidR="00DD5048" w:rsidRPr="00D3736C" w:rsidRDefault="00970FC4" w:rsidP="00DD5048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NHS England </w:t>
      </w:r>
      <w:r w:rsidR="00F2127D">
        <w:rPr>
          <w:rFonts w:asciiTheme="minorHAnsi" w:hAnsiTheme="minorHAnsi"/>
          <w:sz w:val="24"/>
          <w:szCs w:val="24"/>
        </w:rPr>
        <w:t xml:space="preserve">is seeking to set </w:t>
      </w:r>
      <w:r>
        <w:rPr>
          <w:rFonts w:asciiTheme="minorHAnsi" w:hAnsiTheme="minorHAnsi"/>
          <w:sz w:val="24"/>
          <w:szCs w:val="24"/>
        </w:rPr>
        <w:t>a</w:t>
      </w:r>
      <w:r w:rsidR="003668A0" w:rsidRPr="003668A0">
        <w:rPr>
          <w:rFonts w:asciiTheme="minorHAnsi" w:hAnsiTheme="minorHAnsi"/>
          <w:sz w:val="24"/>
          <w:szCs w:val="24"/>
        </w:rPr>
        <w:t xml:space="preserve"> national reference price </w:t>
      </w:r>
      <w:r w:rsidR="00F2127D">
        <w:rPr>
          <w:rFonts w:asciiTheme="minorHAnsi" w:hAnsiTheme="minorHAnsi"/>
          <w:sz w:val="24"/>
          <w:szCs w:val="24"/>
        </w:rPr>
        <w:t xml:space="preserve">to </w:t>
      </w:r>
      <w:r w:rsidR="003668A0" w:rsidRPr="003668A0">
        <w:rPr>
          <w:rFonts w:asciiTheme="minorHAnsi" w:hAnsiTheme="minorHAnsi"/>
          <w:sz w:val="24"/>
          <w:szCs w:val="24"/>
        </w:rPr>
        <w:t xml:space="preserve">incentivise the system to uptake best value adalimumab products at scale and pace. Providers and commissioners will be expected to </w:t>
      </w:r>
      <w:r w:rsidR="00F2127D">
        <w:rPr>
          <w:rFonts w:asciiTheme="minorHAnsi" w:hAnsiTheme="minorHAnsi"/>
          <w:sz w:val="24"/>
          <w:szCs w:val="24"/>
        </w:rPr>
        <w:t xml:space="preserve">make commissioning arrangements for </w:t>
      </w:r>
      <w:r w:rsidR="003668A0" w:rsidRPr="003668A0">
        <w:rPr>
          <w:rFonts w:asciiTheme="minorHAnsi" w:hAnsiTheme="minorHAnsi"/>
          <w:sz w:val="24"/>
          <w:szCs w:val="24"/>
        </w:rPr>
        <w:t>adalimumab which reflect the national reference price for adalimumab.</w:t>
      </w:r>
      <w:r w:rsidR="003668A0">
        <w:rPr>
          <w:rFonts w:asciiTheme="minorHAnsi" w:hAnsiTheme="minorHAnsi"/>
          <w:sz w:val="24"/>
          <w:szCs w:val="24"/>
        </w:rPr>
        <w:t xml:space="preserve"> </w:t>
      </w:r>
      <w:r w:rsidR="00CF1119" w:rsidRPr="0047334F">
        <w:rPr>
          <w:rFonts w:asciiTheme="minorHAnsi" w:hAnsiTheme="minorHAnsi"/>
          <w:sz w:val="24"/>
          <w:szCs w:val="24"/>
        </w:rPr>
        <w:t>NHS England</w:t>
      </w:r>
      <w:r w:rsidR="0047334F" w:rsidRPr="0047334F">
        <w:rPr>
          <w:rFonts w:asciiTheme="minorHAnsi" w:hAnsiTheme="minorHAnsi"/>
          <w:sz w:val="24"/>
          <w:szCs w:val="24"/>
        </w:rPr>
        <w:t xml:space="preserve">’s </w:t>
      </w:r>
      <w:hyperlink r:id="rId12" w:history="1">
        <w:r w:rsidR="0047334F" w:rsidRPr="00B45588">
          <w:rPr>
            <w:rStyle w:val="Hyperlink"/>
            <w:rFonts w:asciiTheme="minorHAnsi" w:hAnsiTheme="minorHAnsi"/>
            <w:sz w:val="24"/>
            <w:szCs w:val="24"/>
          </w:rPr>
          <w:t>c</w:t>
        </w:r>
        <w:r w:rsidR="00BD0DD9" w:rsidRPr="00B45588">
          <w:rPr>
            <w:rStyle w:val="Hyperlink"/>
            <w:rFonts w:asciiTheme="minorHAnsi" w:hAnsiTheme="minorHAnsi"/>
            <w:sz w:val="24"/>
            <w:szCs w:val="24"/>
          </w:rPr>
          <w:t>o</w:t>
        </w:r>
        <w:r w:rsidR="0047334F" w:rsidRPr="00B45588">
          <w:rPr>
            <w:rStyle w:val="Hyperlink"/>
            <w:rFonts w:asciiTheme="minorHAnsi" w:hAnsiTheme="minorHAnsi"/>
            <w:sz w:val="24"/>
            <w:szCs w:val="24"/>
          </w:rPr>
          <w:t>mmissioning intentions for adalimumab</w:t>
        </w:r>
      </w:hyperlink>
      <w:r w:rsidR="004C0D3D">
        <w:rPr>
          <w:rFonts w:asciiTheme="minorHAnsi" w:hAnsiTheme="minorHAnsi"/>
          <w:sz w:val="24"/>
          <w:szCs w:val="24"/>
        </w:rPr>
        <w:t xml:space="preserve">, </w:t>
      </w:r>
      <w:r w:rsidR="003668A0">
        <w:rPr>
          <w:rFonts w:asciiTheme="minorHAnsi" w:hAnsiTheme="minorHAnsi"/>
          <w:sz w:val="24"/>
          <w:szCs w:val="24"/>
        </w:rPr>
        <w:t>published in September 2018, i</w:t>
      </w:r>
      <w:r w:rsidR="002569C5" w:rsidRPr="00CF1119">
        <w:rPr>
          <w:rFonts w:asciiTheme="minorHAnsi" w:hAnsiTheme="minorHAnsi"/>
          <w:sz w:val="24"/>
          <w:szCs w:val="24"/>
        </w:rPr>
        <w:t>ncludes</w:t>
      </w:r>
      <w:r w:rsidR="003668A0">
        <w:rPr>
          <w:rFonts w:asciiTheme="minorHAnsi" w:hAnsiTheme="minorHAnsi"/>
          <w:sz w:val="24"/>
          <w:szCs w:val="24"/>
        </w:rPr>
        <w:t xml:space="preserve"> more information on reference prices.</w:t>
      </w:r>
      <w:r w:rsidR="00B67C6B">
        <w:rPr>
          <w:rFonts w:asciiTheme="minorHAnsi" w:hAnsiTheme="minorHAnsi"/>
          <w:sz w:val="24"/>
          <w:szCs w:val="24"/>
        </w:rPr>
        <w:t xml:space="preserve"> </w:t>
      </w:r>
      <w:r w:rsidR="00DD5048" w:rsidRPr="00D3736C">
        <w:rPr>
          <w:rFonts w:asciiTheme="minorHAnsi" w:hAnsiTheme="minorHAnsi"/>
          <w:sz w:val="24"/>
          <w:szCs w:val="24"/>
        </w:rPr>
        <w:t xml:space="preserve">For </w:t>
      </w:r>
      <w:r w:rsidR="003668A0" w:rsidRPr="00D3736C">
        <w:rPr>
          <w:rFonts w:asciiTheme="minorHAnsi" w:hAnsiTheme="minorHAnsi"/>
          <w:sz w:val="24"/>
          <w:szCs w:val="24"/>
        </w:rPr>
        <w:t>queries about reference prices</w:t>
      </w:r>
      <w:r w:rsidR="004C0D3D" w:rsidRPr="00D3736C">
        <w:rPr>
          <w:rFonts w:asciiTheme="minorHAnsi" w:hAnsiTheme="minorHAnsi"/>
          <w:sz w:val="24"/>
          <w:szCs w:val="24"/>
        </w:rPr>
        <w:t xml:space="preserve"> </w:t>
      </w:r>
      <w:r w:rsidR="00DD5048" w:rsidRPr="00D3736C">
        <w:rPr>
          <w:rFonts w:asciiTheme="minorHAnsi" w:hAnsiTheme="minorHAnsi"/>
          <w:sz w:val="24"/>
          <w:szCs w:val="24"/>
        </w:rPr>
        <w:t xml:space="preserve">contact </w:t>
      </w:r>
      <w:hyperlink r:id="rId13" w:tgtFrame="_blank" w:history="1">
        <w:r w:rsidR="00DD5048" w:rsidRPr="00D3736C">
          <w:rPr>
            <w:rStyle w:val="Hyperlink"/>
            <w:rFonts w:eastAsia="Times New Roman"/>
            <w:sz w:val="24"/>
            <w:szCs w:val="24"/>
          </w:rPr>
          <w:t>england.biosimilars@nhs.net</w:t>
        </w:r>
      </w:hyperlink>
      <w:r w:rsidR="00DD5048" w:rsidRPr="00D3736C">
        <w:rPr>
          <w:rStyle w:val="apple-converted-space"/>
          <w:rFonts w:eastAsia="Times New Roman"/>
          <w:color w:val="1F497D"/>
          <w:sz w:val="24"/>
          <w:szCs w:val="24"/>
        </w:rPr>
        <w:t> </w:t>
      </w:r>
    </w:p>
    <w:p w14:paraId="441740EE" w14:textId="77777777" w:rsidR="00DD5048" w:rsidRDefault="00DD5048" w:rsidP="00BD0DD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B22CF17" w14:textId="77777777" w:rsidR="00932D94" w:rsidRPr="00932D94" w:rsidRDefault="00932D94" w:rsidP="00932D9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932D94">
        <w:rPr>
          <w:rFonts w:asciiTheme="minorHAnsi" w:hAnsiTheme="minorHAnsi"/>
          <w:b/>
          <w:sz w:val="24"/>
          <w:szCs w:val="24"/>
        </w:rPr>
        <w:t>Patient group engagement</w:t>
      </w:r>
    </w:p>
    <w:p w14:paraId="116F7D06" w14:textId="77777777" w:rsidR="00932D94" w:rsidRPr="007156AC" w:rsidRDefault="00932D94" w:rsidP="00932D94">
      <w:pPr>
        <w:spacing w:line="276" w:lineRule="auto"/>
        <w:rPr>
          <w:rFonts w:asciiTheme="minorHAnsi" w:hAnsiTheme="minorHAnsi"/>
          <w:sz w:val="24"/>
        </w:rPr>
      </w:pPr>
      <w:r w:rsidRPr="007156AC">
        <w:rPr>
          <w:rFonts w:asciiTheme="minorHAnsi" w:hAnsiTheme="minorHAnsi"/>
          <w:sz w:val="24"/>
        </w:rPr>
        <w:t xml:space="preserve">Patient engagement is crucial to implementing a successful best value biologics programme and the </w:t>
      </w:r>
      <w:r>
        <w:rPr>
          <w:rFonts w:asciiTheme="minorHAnsi" w:hAnsiTheme="minorHAnsi"/>
          <w:sz w:val="24"/>
        </w:rPr>
        <w:t xml:space="preserve">implementation </w:t>
      </w:r>
      <w:r w:rsidRPr="007156AC">
        <w:rPr>
          <w:rFonts w:asciiTheme="minorHAnsi" w:hAnsiTheme="minorHAnsi"/>
          <w:sz w:val="24"/>
        </w:rPr>
        <w:t xml:space="preserve">toolkit includes a section on engaging with patients. </w:t>
      </w:r>
    </w:p>
    <w:p w14:paraId="7D1C1695" w14:textId="77777777" w:rsidR="00932D94" w:rsidRPr="007156AC" w:rsidRDefault="00932D94" w:rsidP="00932D94">
      <w:pPr>
        <w:spacing w:line="276" w:lineRule="auto"/>
        <w:rPr>
          <w:rFonts w:asciiTheme="minorHAnsi" w:hAnsiTheme="minorHAnsi"/>
          <w:sz w:val="24"/>
        </w:rPr>
      </w:pPr>
    </w:p>
    <w:p w14:paraId="399B564E" w14:textId="77777777" w:rsidR="00932D94" w:rsidRPr="007156AC" w:rsidRDefault="00932D94" w:rsidP="00932D94">
      <w:pPr>
        <w:spacing w:line="276" w:lineRule="auto"/>
        <w:rPr>
          <w:rFonts w:asciiTheme="minorHAnsi" w:hAnsiTheme="minorHAnsi" w:cs="Arial"/>
          <w:sz w:val="24"/>
        </w:rPr>
      </w:pPr>
      <w:r w:rsidRPr="007156AC">
        <w:rPr>
          <w:rFonts w:asciiTheme="minorHAnsi" w:hAnsiTheme="minorHAnsi"/>
          <w:sz w:val="24"/>
        </w:rPr>
        <w:t xml:space="preserve">NHS England has been working closely with the national groups that represent the majority of patients who are being treated with adalimumab, including the </w:t>
      </w:r>
      <w:r w:rsidRPr="007156AC">
        <w:rPr>
          <w:rFonts w:asciiTheme="minorHAnsi" w:hAnsiTheme="minorHAnsi" w:cs="Arial"/>
          <w:sz w:val="24"/>
        </w:rPr>
        <w:t>National Rheumatoid Arthritis Society, the National Ankylosing Spondylitis Society, the Psoriasis Association</w:t>
      </w:r>
      <w:r w:rsidRPr="007156AC">
        <w:rPr>
          <w:rFonts w:asciiTheme="minorHAnsi" w:hAnsiTheme="minorHAnsi"/>
          <w:sz w:val="24"/>
        </w:rPr>
        <w:t xml:space="preserve"> and </w:t>
      </w:r>
      <w:r w:rsidRPr="007156AC">
        <w:rPr>
          <w:rFonts w:asciiTheme="minorHAnsi" w:hAnsiTheme="minorHAnsi" w:cs="Arial"/>
          <w:sz w:val="24"/>
        </w:rPr>
        <w:t>Crohn’s &amp; Colitis UK</w:t>
      </w:r>
      <w:r>
        <w:rPr>
          <w:rFonts w:asciiTheme="minorHAnsi" w:hAnsiTheme="minorHAnsi" w:cs="Arial"/>
          <w:sz w:val="24"/>
        </w:rPr>
        <w:t xml:space="preserve"> and produced a </w:t>
      </w:r>
      <w:r w:rsidRPr="007156AC">
        <w:rPr>
          <w:rFonts w:asciiTheme="minorHAnsi" w:hAnsiTheme="minorHAnsi" w:cs="Arial"/>
          <w:sz w:val="24"/>
        </w:rPr>
        <w:t>template pati</w:t>
      </w:r>
      <w:r w:rsidR="000136B5">
        <w:rPr>
          <w:rFonts w:asciiTheme="minorHAnsi" w:hAnsiTheme="minorHAnsi" w:cs="Arial"/>
          <w:sz w:val="24"/>
        </w:rPr>
        <w:t xml:space="preserve">ent letter, patient FAQs, and a </w:t>
      </w:r>
      <w:r w:rsidRPr="007156AC">
        <w:rPr>
          <w:rFonts w:asciiTheme="minorHAnsi" w:hAnsiTheme="minorHAnsi" w:cs="Arial"/>
          <w:sz w:val="24"/>
        </w:rPr>
        <w:t>template patient newsletter article, all of which have been endorsed by the patient groups</w:t>
      </w:r>
      <w:r w:rsidR="000136B5">
        <w:rPr>
          <w:rFonts w:asciiTheme="minorHAnsi" w:hAnsiTheme="minorHAnsi" w:cs="Arial"/>
          <w:sz w:val="24"/>
        </w:rPr>
        <w:t>, and which are on the SPS website</w:t>
      </w:r>
      <w:r w:rsidRPr="007156AC">
        <w:rPr>
          <w:rFonts w:asciiTheme="minorHAnsi" w:hAnsiTheme="minorHAnsi" w:cs="Arial"/>
          <w:sz w:val="24"/>
        </w:rPr>
        <w:t>.</w:t>
      </w:r>
    </w:p>
    <w:p w14:paraId="174AB1B3" w14:textId="77777777" w:rsidR="000136B5" w:rsidRDefault="000136B5" w:rsidP="00932D9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78FDED2" w14:textId="77777777" w:rsidR="00932D94" w:rsidRPr="00715078" w:rsidRDefault="00932D94" w:rsidP="00932D94">
      <w:pPr>
        <w:spacing w:line="276" w:lineRule="auto"/>
        <w:rPr>
          <w:rFonts w:asciiTheme="minorHAnsi" w:hAnsiTheme="minorHAnsi"/>
          <w:sz w:val="24"/>
          <w:szCs w:val="24"/>
        </w:rPr>
      </w:pPr>
      <w:r w:rsidRPr="00715078">
        <w:rPr>
          <w:rFonts w:asciiTheme="minorHAnsi" w:hAnsiTheme="minorHAnsi"/>
          <w:sz w:val="24"/>
          <w:szCs w:val="24"/>
        </w:rPr>
        <w:lastRenderedPageBreak/>
        <w:t xml:space="preserve">Further patient materials on biosimilar medicines can also be found on the </w:t>
      </w:r>
      <w:hyperlink r:id="rId14" w:history="1">
        <w:r w:rsidRPr="00A2632D">
          <w:rPr>
            <w:rStyle w:val="Hyperlink"/>
            <w:rFonts w:asciiTheme="minorHAnsi" w:hAnsiTheme="minorHAnsi"/>
            <w:sz w:val="24"/>
            <w:szCs w:val="24"/>
          </w:rPr>
          <w:t>European Medicines Agency’s</w:t>
        </w:r>
      </w:hyperlink>
      <w:r w:rsidRPr="000136B5">
        <w:rPr>
          <w:rFonts w:asciiTheme="minorHAnsi" w:hAnsiTheme="minorHAnsi"/>
          <w:sz w:val="24"/>
          <w:szCs w:val="24"/>
        </w:rPr>
        <w:t xml:space="preserve"> (EMA) website</w:t>
      </w:r>
      <w:r w:rsidR="000136B5">
        <w:rPr>
          <w:rFonts w:asciiTheme="minorHAnsi" w:hAnsiTheme="minorHAnsi"/>
          <w:sz w:val="24"/>
          <w:szCs w:val="24"/>
        </w:rPr>
        <w:t xml:space="preserve"> </w:t>
      </w:r>
      <w:r w:rsidRPr="00715078">
        <w:rPr>
          <w:rFonts w:asciiTheme="minorHAnsi" w:hAnsiTheme="minorHAnsi"/>
          <w:sz w:val="24"/>
          <w:szCs w:val="24"/>
        </w:rPr>
        <w:t xml:space="preserve">including resources in other European languages. </w:t>
      </w:r>
    </w:p>
    <w:p w14:paraId="5563DA02" w14:textId="77777777" w:rsidR="00932D94" w:rsidRPr="007156AC" w:rsidRDefault="00932D94" w:rsidP="00932D9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2AF4FA5" w14:textId="77777777" w:rsidR="00932D94" w:rsidRPr="007156AC" w:rsidRDefault="00932D94" w:rsidP="00932D9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156AC">
        <w:rPr>
          <w:rFonts w:asciiTheme="minorHAnsi" w:hAnsiTheme="minorHAnsi"/>
          <w:b/>
          <w:sz w:val="24"/>
          <w:szCs w:val="24"/>
        </w:rPr>
        <w:t>Clinical engagement</w:t>
      </w:r>
    </w:p>
    <w:p w14:paraId="4A8F73BD" w14:textId="547F62CC" w:rsidR="00932D94" w:rsidRPr="007156AC" w:rsidRDefault="002D32C7" w:rsidP="00932D94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have been working </w:t>
      </w:r>
      <w:r w:rsidR="00932D94" w:rsidRPr="007156AC">
        <w:rPr>
          <w:rFonts w:asciiTheme="minorHAnsi" w:hAnsiTheme="minorHAnsi"/>
          <w:sz w:val="24"/>
          <w:szCs w:val="24"/>
        </w:rPr>
        <w:t>with professional bodies including the British Association of Dermatology, the British Society of Gastroenterology, the British Society of Rheumatology, the Neonatal Paediatric Pharmacists</w:t>
      </w:r>
      <w:r w:rsidR="00243FB5">
        <w:rPr>
          <w:rFonts w:asciiTheme="minorHAnsi" w:hAnsiTheme="minorHAnsi"/>
          <w:sz w:val="24"/>
          <w:szCs w:val="24"/>
        </w:rPr>
        <w:t>’</w:t>
      </w:r>
      <w:r w:rsidR="00932D94" w:rsidRPr="007156AC">
        <w:rPr>
          <w:rFonts w:asciiTheme="minorHAnsi" w:hAnsiTheme="minorHAnsi"/>
          <w:sz w:val="24"/>
          <w:szCs w:val="24"/>
        </w:rPr>
        <w:t xml:space="preserve"> Group, the Royal College of Nursing and the UK Clinical Pharmacy Association. Organisations are working with us to ensure their members are kept up to date as well as </w:t>
      </w:r>
      <w:r w:rsidR="00932D94">
        <w:rPr>
          <w:rFonts w:asciiTheme="minorHAnsi" w:hAnsiTheme="minorHAnsi"/>
          <w:sz w:val="24"/>
          <w:szCs w:val="24"/>
        </w:rPr>
        <w:t xml:space="preserve">providing </w:t>
      </w:r>
      <w:r w:rsidR="00932D94" w:rsidRPr="007156AC">
        <w:rPr>
          <w:rFonts w:asciiTheme="minorHAnsi" w:hAnsiTheme="minorHAnsi"/>
          <w:sz w:val="24"/>
          <w:szCs w:val="24"/>
        </w:rPr>
        <w:t>their insights into how medical</w:t>
      </w:r>
      <w:r>
        <w:rPr>
          <w:rFonts w:asciiTheme="minorHAnsi" w:hAnsiTheme="minorHAnsi"/>
          <w:sz w:val="24"/>
          <w:szCs w:val="24"/>
        </w:rPr>
        <w:t>, pharmacy</w:t>
      </w:r>
      <w:r w:rsidR="00932D94" w:rsidRPr="007156AC">
        <w:rPr>
          <w:rFonts w:asciiTheme="minorHAnsi" w:hAnsiTheme="minorHAnsi"/>
          <w:sz w:val="24"/>
          <w:szCs w:val="24"/>
        </w:rPr>
        <w:t xml:space="preserve"> and nursing teams can support a successful best value biologics programme locally. We are currently working with the RCN to produce a briefing for specialist nurses</w:t>
      </w:r>
      <w:r w:rsidR="00932D94">
        <w:rPr>
          <w:rFonts w:asciiTheme="minorHAnsi" w:hAnsiTheme="minorHAnsi"/>
          <w:sz w:val="24"/>
          <w:szCs w:val="24"/>
        </w:rPr>
        <w:t xml:space="preserve"> in</w:t>
      </w:r>
      <w:r w:rsidR="00932D94" w:rsidRPr="007156AC">
        <w:rPr>
          <w:rFonts w:asciiTheme="minorHAnsi" w:hAnsiTheme="minorHAnsi"/>
          <w:sz w:val="24"/>
          <w:szCs w:val="24"/>
        </w:rPr>
        <w:t xml:space="preserve"> October. </w:t>
      </w:r>
    </w:p>
    <w:p w14:paraId="7C57EACE" w14:textId="77777777" w:rsidR="00932D94" w:rsidRPr="007156AC" w:rsidRDefault="00932D94" w:rsidP="00BD0DD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8573654" w14:textId="77777777" w:rsidR="002841A3" w:rsidRDefault="00644E66" w:rsidP="002841A3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156AC">
        <w:rPr>
          <w:rFonts w:asciiTheme="minorHAnsi" w:hAnsiTheme="minorHAnsi"/>
          <w:b/>
          <w:sz w:val="24"/>
          <w:szCs w:val="24"/>
        </w:rPr>
        <w:t>Product update</w:t>
      </w:r>
    </w:p>
    <w:p w14:paraId="7977E0A6" w14:textId="04CC0A50" w:rsidR="002841A3" w:rsidRPr="002841A3" w:rsidRDefault="002841A3" w:rsidP="002841A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2841A3">
        <w:rPr>
          <w:rFonts w:asciiTheme="minorHAnsi" w:hAnsiTheme="minorHAnsi" w:cs="Arial"/>
          <w:sz w:val="24"/>
          <w:szCs w:val="24"/>
        </w:rPr>
        <w:t>The following Adalimumab biosimilars are approved for use in the UK but not yet launched, and are expected to be included in NHS England’s procurement exercise:</w:t>
      </w:r>
    </w:p>
    <w:p w14:paraId="06F23665" w14:textId="33AAEC67" w:rsidR="002841A3" w:rsidRPr="002841A3" w:rsidRDefault="002841A3" w:rsidP="002841A3">
      <w:pPr>
        <w:pStyle w:val="NormalWeb"/>
        <w:numPr>
          <w:ilvl w:val="0"/>
          <w:numId w:val="25"/>
        </w:numPr>
        <w:spacing w:line="276" w:lineRule="auto"/>
        <w:rPr>
          <w:rFonts w:asciiTheme="minorHAnsi" w:hAnsiTheme="minorHAnsi"/>
        </w:rPr>
      </w:pPr>
      <w:r w:rsidRPr="002841A3">
        <w:rPr>
          <w:rFonts w:asciiTheme="minorHAnsi" w:hAnsiTheme="minorHAnsi" w:cs="Arial"/>
        </w:rPr>
        <w:t>Amgevita®</w:t>
      </w:r>
      <w:r>
        <w:rPr>
          <w:rFonts w:asciiTheme="minorHAnsi" w:hAnsiTheme="minorHAnsi" w:cs="Arial"/>
        </w:rPr>
        <w:t xml:space="preserve"> </w:t>
      </w:r>
      <w:r w:rsidRPr="002841A3">
        <w:rPr>
          <w:rFonts w:asciiTheme="minorHAnsi" w:hAnsiTheme="minorHAnsi" w:cs="Arial"/>
        </w:rPr>
        <w:t>(Amgen)</w:t>
      </w:r>
    </w:p>
    <w:p w14:paraId="4E5E0719" w14:textId="54F520AF" w:rsidR="002841A3" w:rsidRPr="002841A3" w:rsidRDefault="002841A3" w:rsidP="002841A3">
      <w:pPr>
        <w:pStyle w:val="NormalWeb"/>
        <w:numPr>
          <w:ilvl w:val="0"/>
          <w:numId w:val="25"/>
        </w:numPr>
        <w:spacing w:line="276" w:lineRule="auto"/>
        <w:rPr>
          <w:rFonts w:asciiTheme="minorHAnsi" w:hAnsiTheme="minorHAnsi" w:cs="Arial"/>
        </w:rPr>
      </w:pPr>
      <w:r w:rsidRPr="002841A3">
        <w:rPr>
          <w:rFonts w:asciiTheme="minorHAnsi" w:hAnsiTheme="minorHAnsi" w:cs="Arial"/>
        </w:rPr>
        <w:t>Hulio®</w:t>
      </w:r>
      <w:r>
        <w:rPr>
          <w:rFonts w:asciiTheme="minorHAnsi" w:hAnsiTheme="minorHAnsi" w:cs="Arial"/>
        </w:rPr>
        <w:t xml:space="preserve"> </w:t>
      </w:r>
      <w:r w:rsidRPr="002841A3">
        <w:rPr>
          <w:rFonts w:asciiTheme="minorHAnsi" w:hAnsiTheme="minorHAnsi" w:cs="Arial"/>
        </w:rPr>
        <w:t>(Mylan/Fujifilm Kyowa Kirin)</w:t>
      </w:r>
    </w:p>
    <w:p w14:paraId="151D7E5C" w14:textId="3F3BFEE3" w:rsidR="002841A3" w:rsidRPr="002841A3" w:rsidRDefault="002841A3" w:rsidP="002841A3">
      <w:pPr>
        <w:pStyle w:val="NormalWeb"/>
        <w:numPr>
          <w:ilvl w:val="0"/>
          <w:numId w:val="25"/>
        </w:numPr>
        <w:spacing w:line="276" w:lineRule="auto"/>
        <w:rPr>
          <w:rFonts w:asciiTheme="minorHAnsi" w:hAnsiTheme="minorHAnsi"/>
        </w:rPr>
      </w:pPr>
      <w:r w:rsidRPr="002841A3">
        <w:rPr>
          <w:rFonts w:asciiTheme="minorHAnsi" w:hAnsiTheme="minorHAnsi" w:cs="Arial"/>
        </w:rPr>
        <w:t>Hyrimoz®</w:t>
      </w:r>
      <w:r>
        <w:rPr>
          <w:rFonts w:asciiTheme="minorHAnsi" w:hAnsiTheme="minorHAnsi" w:cs="Arial"/>
        </w:rPr>
        <w:t xml:space="preserve"> </w:t>
      </w:r>
      <w:r w:rsidRPr="002841A3">
        <w:rPr>
          <w:rFonts w:asciiTheme="minorHAnsi" w:hAnsiTheme="minorHAnsi" w:cs="Arial"/>
        </w:rPr>
        <w:t>(Sandoz)</w:t>
      </w:r>
    </w:p>
    <w:p w14:paraId="278555B5" w14:textId="5AF3B85B" w:rsidR="002841A3" w:rsidRPr="002841A3" w:rsidRDefault="002841A3" w:rsidP="002841A3">
      <w:pPr>
        <w:pStyle w:val="NormalWeb"/>
        <w:numPr>
          <w:ilvl w:val="0"/>
          <w:numId w:val="25"/>
        </w:numPr>
        <w:spacing w:line="276" w:lineRule="auto"/>
        <w:rPr>
          <w:rFonts w:asciiTheme="minorHAnsi" w:hAnsiTheme="minorHAnsi"/>
        </w:rPr>
      </w:pPr>
      <w:r w:rsidRPr="002841A3">
        <w:rPr>
          <w:rFonts w:asciiTheme="minorHAnsi" w:hAnsiTheme="minorHAnsi" w:cs="Arial"/>
        </w:rPr>
        <w:t>Imraldi®</w:t>
      </w:r>
      <w:r>
        <w:rPr>
          <w:rFonts w:asciiTheme="minorHAnsi" w:hAnsiTheme="minorHAnsi" w:cs="Arial"/>
        </w:rPr>
        <w:t xml:space="preserve"> </w:t>
      </w:r>
      <w:r w:rsidRPr="002841A3">
        <w:rPr>
          <w:rFonts w:asciiTheme="minorHAnsi" w:hAnsiTheme="minorHAnsi" w:cs="Arial"/>
        </w:rPr>
        <w:t>(Samsung Biogen)</w:t>
      </w:r>
      <w:r w:rsidR="009F45F7">
        <w:rPr>
          <w:rFonts w:asciiTheme="minorHAnsi" w:hAnsiTheme="minorHAnsi" w:cs="Arial"/>
        </w:rPr>
        <w:t>.</w:t>
      </w:r>
    </w:p>
    <w:p w14:paraId="0AAAECF4" w14:textId="77777777" w:rsidR="00BD0DD9" w:rsidRPr="002841A3" w:rsidRDefault="00BD0DD9" w:rsidP="002841A3">
      <w:pPr>
        <w:spacing w:line="276" w:lineRule="auto"/>
        <w:rPr>
          <w:rFonts w:asciiTheme="minorHAnsi" w:eastAsia="Times New Roman" w:hAnsiTheme="minorHAnsi"/>
          <w:sz w:val="24"/>
          <w:szCs w:val="24"/>
        </w:rPr>
      </w:pPr>
      <w:r w:rsidRPr="002841A3">
        <w:rPr>
          <w:rFonts w:asciiTheme="minorHAnsi" w:eastAsia="Times New Roman" w:hAnsiTheme="minorHAnsi"/>
          <w:sz w:val="24"/>
          <w:szCs w:val="24"/>
        </w:rPr>
        <w:t xml:space="preserve">A simplified comparison of current information </w:t>
      </w:r>
      <w:r w:rsidR="00673C37" w:rsidRPr="002841A3">
        <w:rPr>
          <w:rFonts w:asciiTheme="minorHAnsi" w:eastAsia="Times New Roman" w:hAnsiTheme="minorHAnsi"/>
          <w:sz w:val="24"/>
          <w:szCs w:val="24"/>
        </w:rPr>
        <w:t>for adalimumab</w:t>
      </w:r>
      <w:r w:rsidR="005F47AA" w:rsidRPr="002841A3">
        <w:rPr>
          <w:rFonts w:asciiTheme="minorHAnsi" w:eastAsia="Times New Roman" w:hAnsiTheme="minorHAnsi"/>
          <w:sz w:val="24"/>
          <w:szCs w:val="24"/>
        </w:rPr>
        <w:t xml:space="preserve"> products </w:t>
      </w:r>
      <w:r w:rsidR="00673C37" w:rsidRPr="002841A3">
        <w:rPr>
          <w:rFonts w:asciiTheme="minorHAnsi" w:eastAsia="Times New Roman" w:hAnsiTheme="minorHAnsi"/>
          <w:sz w:val="24"/>
          <w:szCs w:val="24"/>
        </w:rPr>
        <w:t>is</w:t>
      </w:r>
      <w:r w:rsidRPr="002841A3">
        <w:rPr>
          <w:rFonts w:asciiTheme="minorHAnsi" w:eastAsia="Times New Roman" w:hAnsiTheme="minorHAnsi"/>
          <w:sz w:val="24"/>
          <w:szCs w:val="24"/>
        </w:rPr>
        <w:t>:</w:t>
      </w:r>
    </w:p>
    <w:p w14:paraId="5A510117" w14:textId="77777777" w:rsidR="0089786C" w:rsidRPr="007156AC" w:rsidRDefault="0089786C" w:rsidP="00BD0DD9">
      <w:pPr>
        <w:spacing w:line="276" w:lineRule="auto"/>
        <w:rPr>
          <w:rFonts w:asciiTheme="minorHAnsi" w:eastAsia="Times New Roman" w:hAnsiTheme="minorHAnsi"/>
          <w:sz w:val="24"/>
          <w:szCs w:val="24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890"/>
        <w:gridCol w:w="1710"/>
        <w:gridCol w:w="1170"/>
        <w:gridCol w:w="2070"/>
      </w:tblGrid>
      <w:tr w:rsidR="008A5C38" w:rsidRPr="008A5C38" w14:paraId="7BABE89A" w14:textId="77777777" w:rsidTr="008A5C38">
        <w:tc>
          <w:tcPr>
            <w:tcW w:w="1800" w:type="dxa"/>
          </w:tcPr>
          <w:p w14:paraId="70A3AEE3" w14:textId="77777777" w:rsidR="00CF1119" w:rsidRPr="008A5C38" w:rsidRDefault="00CF1119" w:rsidP="00CF1119">
            <w:pPr>
              <w:spacing w:line="276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A5C38">
              <w:rPr>
                <w:rFonts w:asciiTheme="minorHAnsi" w:eastAsia="Times New Roman" w:hAnsi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1260" w:type="dxa"/>
          </w:tcPr>
          <w:p w14:paraId="52792B02" w14:textId="77777777" w:rsidR="00CF1119" w:rsidRPr="008A5C38" w:rsidRDefault="00CF1119" w:rsidP="00CF1119">
            <w:pPr>
              <w:spacing w:line="276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A5C38">
              <w:rPr>
                <w:rFonts w:asciiTheme="minorHAnsi" w:eastAsia="Times New Roman" w:hAnsiTheme="minorHAnsi"/>
                <w:b/>
                <w:sz w:val="24"/>
                <w:szCs w:val="24"/>
              </w:rPr>
              <w:t>Product name</w:t>
            </w:r>
          </w:p>
        </w:tc>
        <w:tc>
          <w:tcPr>
            <w:tcW w:w="1890" w:type="dxa"/>
          </w:tcPr>
          <w:p w14:paraId="0D73BEFA" w14:textId="77777777" w:rsidR="00CF1119" w:rsidRPr="008A5C38" w:rsidRDefault="00CF1119" w:rsidP="00CF1119">
            <w:pPr>
              <w:spacing w:line="276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A5C38">
              <w:rPr>
                <w:rFonts w:asciiTheme="minorHAnsi" w:eastAsia="Times New Roman" w:hAnsiTheme="minorHAnsi"/>
                <w:b/>
                <w:sz w:val="24"/>
                <w:szCs w:val="24"/>
              </w:rPr>
              <w:t>Licences</w:t>
            </w:r>
          </w:p>
        </w:tc>
        <w:tc>
          <w:tcPr>
            <w:tcW w:w="1710" w:type="dxa"/>
          </w:tcPr>
          <w:p w14:paraId="2C7228BB" w14:textId="77777777" w:rsidR="00CF1119" w:rsidRPr="008A5C38" w:rsidRDefault="00CF1119" w:rsidP="00CF1119">
            <w:pPr>
              <w:spacing w:line="276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A5C38">
              <w:rPr>
                <w:b/>
                <w:sz w:val="24"/>
                <w:szCs w:val="24"/>
              </w:rPr>
              <w:t>20mg strength available</w:t>
            </w:r>
          </w:p>
        </w:tc>
        <w:tc>
          <w:tcPr>
            <w:tcW w:w="1170" w:type="dxa"/>
          </w:tcPr>
          <w:p w14:paraId="32915258" w14:textId="77777777" w:rsidR="00CF1119" w:rsidRPr="008A5C38" w:rsidRDefault="00CF1119" w:rsidP="00CF1119">
            <w:pPr>
              <w:spacing w:line="276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A5C38">
              <w:rPr>
                <w:b/>
                <w:sz w:val="24"/>
                <w:szCs w:val="24"/>
              </w:rPr>
              <w:t>Citrate excipient</w:t>
            </w:r>
          </w:p>
        </w:tc>
        <w:tc>
          <w:tcPr>
            <w:tcW w:w="2070" w:type="dxa"/>
          </w:tcPr>
          <w:p w14:paraId="0C10CD98" w14:textId="77777777" w:rsidR="00CF1119" w:rsidRPr="008A5C38" w:rsidRDefault="00CF1119" w:rsidP="00CF1119">
            <w:pPr>
              <w:spacing w:line="276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A5C38">
              <w:rPr>
                <w:rFonts w:asciiTheme="minorHAnsi" w:eastAsia="Times New Roman" w:hAnsiTheme="minorHAnsi"/>
                <w:b/>
                <w:sz w:val="24"/>
                <w:szCs w:val="24"/>
              </w:rPr>
              <w:t>EMA link for further product details</w:t>
            </w:r>
          </w:p>
        </w:tc>
      </w:tr>
      <w:tr w:rsidR="008A5C38" w:rsidRPr="00A255C8" w14:paraId="1C94469C" w14:textId="77777777" w:rsidTr="008A5C38">
        <w:tc>
          <w:tcPr>
            <w:tcW w:w="1800" w:type="dxa"/>
          </w:tcPr>
          <w:p w14:paraId="0D07587B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Abbvie</w:t>
            </w:r>
          </w:p>
        </w:tc>
        <w:tc>
          <w:tcPr>
            <w:tcW w:w="1260" w:type="dxa"/>
          </w:tcPr>
          <w:p w14:paraId="6DDA15F6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Humira®</w:t>
            </w:r>
          </w:p>
        </w:tc>
        <w:tc>
          <w:tcPr>
            <w:tcW w:w="1890" w:type="dxa"/>
          </w:tcPr>
          <w:p w14:paraId="62896FCF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933256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22FEFACA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No</w:t>
            </w:r>
          </w:p>
        </w:tc>
        <w:tc>
          <w:tcPr>
            <w:tcW w:w="2070" w:type="dxa"/>
          </w:tcPr>
          <w:p w14:paraId="2AE7E04A" w14:textId="77777777" w:rsidR="00CF1119" w:rsidRPr="00A255C8" w:rsidRDefault="00690BDE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5" w:history="1">
              <w:r w:rsidR="008A5C38" w:rsidRPr="008A5C38">
                <w:rPr>
                  <w:rStyle w:val="Hyperlink"/>
                  <w:rFonts w:asciiTheme="minorHAnsi" w:eastAsia="Times New Roman" w:hAnsiTheme="minorHAnsi"/>
                  <w:sz w:val="24"/>
                  <w:szCs w:val="24"/>
                </w:rPr>
                <w:t>Humira</w:t>
              </w:r>
            </w:hyperlink>
          </w:p>
        </w:tc>
      </w:tr>
      <w:tr w:rsidR="008A5C38" w:rsidRPr="00A255C8" w14:paraId="6FD371A4" w14:textId="77777777" w:rsidTr="008A5C38">
        <w:tc>
          <w:tcPr>
            <w:tcW w:w="1800" w:type="dxa"/>
          </w:tcPr>
          <w:p w14:paraId="7F658C56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Amgen</w:t>
            </w:r>
          </w:p>
        </w:tc>
        <w:tc>
          <w:tcPr>
            <w:tcW w:w="1260" w:type="dxa"/>
          </w:tcPr>
          <w:p w14:paraId="75C5ABE3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Amgevita®</w:t>
            </w:r>
          </w:p>
        </w:tc>
        <w:tc>
          <w:tcPr>
            <w:tcW w:w="1890" w:type="dxa"/>
          </w:tcPr>
          <w:p w14:paraId="3B600BFE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Same as Humira®, except paed</w:t>
            </w:r>
            <w:r w:rsidR="00673C37" w:rsidRPr="00A255C8">
              <w:rPr>
                <w:rFonts w:asciiTheme="minorHAnsi" w:eastAsia="Times New Roman" w:hAnsiTheme="minorHAnsi"/>
                <w:sz w:val="24"/>
                <w:szCs w:val="24"/>
              </w:rPr>
              <w:t>iatric</w:t>
            </w: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 xml:space="preserve"> uveitis</w:t>
            </w:r>
          </w:p>
        </w:tc>
        <w:tc>
          <w:tcPr>
            <w:tcW w:w="1710" w:type="dxa"/>
          </w:tcPr>
          <w:p w14:paraId="6EB8D1BB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4352F78F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No</w:t>
            </w:r>
          </w:p>
        </w:tc>
        <w:tc>
          <w:tcPr>
            <w:tcW w:w="2070" w:type="dxa"/>
          </w:tcPr>
          <w:p w14:paraId="60EFEFE8" w14:textId="77777777" w:rsidR="00CF1119" w:rsidRPr="00A255C8" w:rsidRDefault="00690BDE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6" w:history="1">
              <w:r w:rsidR="008A5C38" w:rsidRPr="008A5C38">
                <w:rPr>
                  <w:rStyle w:val="Hyperlink"/>
                  <w:rFonts w:asciiTheme="minorHAnsi" w:eastAsia="Times New Roman" w:hAnsiTheme="minorHAnsi"/>
                  <w:sz w:val="24"/>
                  <w:szCs w:val="24"/>
                </w:rPr>
                <w:t>Amgevita</w:t>
              </w:r>
            </w:hyperlink>
          </w:p>
        </w:tc>
      </w:tr>
      <w:tr w:rsidR="009F45F7" w:rsidRPr="00A255C8" w14:paraId="0A95DBE3" w14:textId="77777777" w:rsidTr="00016919">
        <w:tc>
          <w:tcPr>
            <w:tcW w:w="1800" w:type="dxa"/>
          </w:tcPr>
          <w:p w14:paraId="3E7D48E5" w14:textId="77777777" w:rsidR="009F45F7" w:rsidRPr="00A255C8" w:rsidRDefault="009F45F7" w:rsidP="000169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Mylan / Fujifilm Kyowa Kirin</w:t>
            </w:r>
          </w:p>
        </w:tc>
        <w:tc>
          <w:tcPr>
            <w:tcW w:w="1260" w:type="dxa"/>
          </w:tcPr>
          <w:p w14:paraId="6762568D" w14:textId="77777777" w:rsidR="009F45F7" w:rsidRPr="00A255C8" w:rsidRDefault="009F45F7" w:rsidP="000169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Hulio®</w:t>
            </w:r>
          </w:p>
        </w:tc>
        <w:tc>
          <w:tcPr>
            <w:tcW w:w="1890" w:type="dxa"/>
          </w:tcPr>
          <w:p w14:paraId="429F4580" w14:textId="77777777" w:rsidR="009F45F7" w:rsidRPr="00A255C8" w:rsidRDefault="009F45F7" w:rsidP="000169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Same as Humira®</w:t>
            </w:r>
          </w:p>
        </w:tc>
        <w:tc>
          <w:tcPr>
            <w:tcW w:w="1710" w:type="dxa"/>
          </w:tcPr>
          <w:p w14:paraId="733A1703" w14:textId="77777777" w:rsidR="009F45F7" w:rsidRPr="00A255C8" w:rsidRDefault="009F45F7" w:rsidP="000169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14:paraId="1691D44A" w14:textId="77777777" w:rsidR="009F45F7" w:rsidRPr="00A255C8" w:rsidRDefault="009F45F7" w:rsidP="000169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No</w:t>
            </w:r>
          </w:p>
        </w:tc>
        <w:tc>
          <w:tcPr>
            <w:tcW w:w="2070" w:type="dxa"/>
          </w:tcPr>
          <w:p w14:paraId="7389DAA5" w14:textId="77777777" w:rsidR="009F45F7" w:rsidRPr="00A255C8" w:rsidRDefault="00690BDE" w:rsidP="000169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7" w:history="1">
              <w:r w:rsidR="009F45F7" w:rsidRPr="008A5C38">
                <w:rPr>
                  <w:rStyle w:val="Hyperlink"/>
                  <w:rFonts w:asciiTheme="minorHAnsi" w:eastAsia="Times New Roman" w:hAnsiTheme="minorHAnsi"/>
                  <w:sz w:val="24"/>
                  <w:szCs w:val="24"/>
                </w:rPr>
                <w:t>Hulio</w:t>
              </w:r>
            </w:hyperlink>
          </w:p>
        </w:tc>
      </w:tr>
      <w:tr w:rsidR="008A5C38" w:rsidRPr="00A255C8" w14:paraId="10CB6D5C" w14:textId="77777777" w:rsidTr="008A5C38">
        <w:tc>
          <w:tcPr>
            <w:tcW w:w="1800" w:type="dxa"/>
          </w:tcPr>
          <w:p w14:paraId="1DBBA308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Samsung Biogen</w:t>
            </w:r>
          </w:p>
        </w:tc>
        <w:tc>
          <w:tcPr>
            <w:tcW w:w="1260" w:type="dxa"/>
          </w:tcPr>
          <w:p w14:paraId="426A2686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Imraldi®</w:t>
            </w:r>
          </w:p>
        </w:tc>
        <w:tc>
          <w:tcPr>
            <w:tcW w:w="1890" w:type="dxa"/>
          </w:tcPr>
          <w:p w14:paraId="7D54BA7E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Same as Humira®, except paed</w:t>
            </w:r>
            <w:r w:rsidR="00673C37" w:rsidRPr="00A255C8">
              <w:rPr>
                <w:rFonts w:asciiTheme="minorHAnsi" w:eastAsia="Times New Roman" w:hAnsiTheme="minorHAnsi"/>
                <w:sz w:val="24"/>
                <w:szCs w:val="24"/>
              </w:rPr>
              <w:t>iatric</w:t>
            </w: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 xml:space="preserve"> uveitis</w:t>
            </w:r>
          </w:p>
        </w:tc>
        <w:tc>
          <w:tcPr>
            <w:tcW w:w="1710" w:type="dxa"/>
          </w:tcPr>
          <w:p w14:paraId="36836F7B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14:paraId="6B589753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Yes</w:t>
            </w:r>
          </w:p>
        </w:tc>
        <w:tc>
          <w:tcPr>
            <w:tcW w:w="2070" w:type="dxa"/>
          </w:tcPr>
          <w:p w14:paraId="40B23C98" w14:textId="77777777" w:rsidR="00CF1119" w:rsidRPr="00A255C8" w:rsidRDefault="00690BDE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8" w:history="1">
              <w:r w:rsidR="008A5C38" w:rsidRPr="008A5C38">
                <w:rPr>
                  <w:rStyle w:val="Hyperlink"/>
                  <w:rFonts w:asciiTheme="minorHAnsi" w:eastAsia="Times New Roman" w:hAnsiTheme="minorHAnsi"/>
                  <w:sz w:val="24"/>
                  <w:szCs w:val="24"/>
                </w:rPr>
                <w:t>Imraldi</w:t>
              </w:r>
            </w:hyperlink>
          </w:p>
        </w:tc>
      </w:tr>
      <w:tr w:rsidR="008A5C38" w:rsidRPr="00A255C8" w14:paraId="1C067455" w14:textId="77777777" w:rsidTr="008A5C38">
        <w:tc>
          <w:tcPr>
            <w:tcW w:w="1800" w:type="dxa"/>
          </w:tcPr>
          <w:p w14:paraId="672F299A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Sandoz</w:t>
            </w:r>
          </w:p>
        </w:tc>
        <w:tc>
          <w:tcPr>
            <w:tcW w:w="1260" w:type="dxa"/>
          </w:tcPr>
          <w:p w14:paraId="175BE837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Hyrimoz®</w:t>
            </w:r>
          </w:p>
        </w:tc>
        <w:tc>
          <w:tcPr>
            <w:tcW w:w="1890" w:type="dxa"/>
          </w:tcPr>
          <w:p w14:paraId="3BE855B4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Same as Humira®</w:t>
            </w:r>
          </w:p>
        </w:tc>
        <w:tc>
          <w:tcPr>
            <w:tcW w:w="1710" w:type="dxa"/>
          </w:tcPr>
          <w:p w14:paraId="5B2CBE6B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14:paraId="5E91FB84" w14:textId="77777777" w:rsidR="00CF1119" w:rsidRPr="00A255C8" w:rsidRDefault="00CF1119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255C8">
              <w:rPr>
                <w:rFonts w:asciiTheme="minorHAnsi" w:eastAsia="Times New Roman" w:hAnsiTheme="minorHAnsi"/>
                <w:sz w:val="24"/>
                <w:szCs w:val="24"/>
              </w:rPr>
              <w:t>Yes</w:t>
            </w:r>
          </w:p>
        </w:tc>
        <w:tc>
          <w:tcPr>
            <w:tcW w:w="2070" w:type="dxa"/>
          </w:tcPr>
          <w:p w14:paraId="216ADF55" w14:textId="77777777" w:rsidR="00CF1119" w:rsidRPr="00A255C8" w:rsidRDefault="00690BDE" w:rsidP="00CF1119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9" w:history="1">
              <w:r w:rsidR="008A5C38" w:rsidRPr="008A5C38">
                <w:rPr>
                  <w:rStyle w:val="Hyperlink"/>
                  <w:rFonts w:asciiTheme="minorHAnsi" w:eastAsia="Times New Roman" w:hAnsiTheme="minorHAnsi"/>
                  <w:sz w:val="24"/>
                  <w:szCs w:val="24"/>
                </w:rPr>
                <w:t>Hyrimoz</w:t>
              </w:r>
            </w:hyperlink>
          </w:p>
        </w:tc>
      </w:tr>
    </w:tbl>
    <w:p w14:paraId="5BC8C406" w14:textId="77777777" w:rsidR="00BD0DD9" w:rsidRPr="007156AC" w:rsidRDefault="00BD0DD9" w:rsidP="00BD0DD9">
      <w:pPr>
        <w:spacing w:line="276" w:lineRule="auto"/>
        <w:rPr>
          <w:rFonts w:asciiTheme="minorHAnsi" w:eastAsia="Times New Roman" w:hAnsiTheme="minorHAnsi"/>
          <w:sz w:val="24"/>
          <w:szCs w:val="24"/>
        </w:rPr>
      </w:pPr>
      <w:r w:rsidRPr="007156AC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4015124A" w14:textId="77777777" w:rsidR="00561947" w:rsidRPr="007156AC" w:rsidRDefault="00677B88" w:rsidP="00932D9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156AC">
        <w:rPr>
          <w:rFonts w:asciiTheme="minorHAnsi" w:hAnsiTheme="minorHAnsi"/>
          <w:b/>
          <w:sz w:val="24"/>
          <w:szCs w:val="24"/>
        </w:rPr>
        <w:t>Future products</w:t>
      </w:r>
    </w:p>
    <w:p w14:paraId="036B813F" w14:textId="3833B9F1" w:rsidR="00B8468F" w:rsidRPr="007156AC" w:rsidRDefault="00561947" w:rsidP="00561947">
      <w:pPr>
        <w:spacing w:line="276" w:lineRule="auto"/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 xml:space="preserve">We are expecting </w:t>
      </w:r>
      <w:r w:rsidR="00210EBA">
        <w:rPr>
          <w:rFonts w:asciiTheme="minorHAnsi" w:hAnsiTheme="minorHAnsi"/>
          <w:sz w:val="24"/>
          <w:szCs w:val="24"/>
        </w:rPr>
        <w:t xml:space="preserve">at least two </w:t>
      </w:r>
      <w:r w:rsidRPr="007156AC">
        <w:rPr>
          <w:rFonts w:asciiTheme="minorHAnsi" w:hAnsiTheme="minorHAnsi"/>
          <w:sz w:val="24"/>
          <w:szCs w:val="24"/>
        </w:rPr>
        <w:t xml:space="preserve">further biosimilars to become available </w:t>
      </w:r>
      <w:r w:rsidR="00203CFA">
        <w:rPr>
          <w:rFonts w:asciiTheme="minorHAnsi" w:hAnsiTheme="minorHAnsi"/>
          <w:sz w:val="24"/>
          <w:szCs w:val="24"/>
        </w:rPr>
        <w:t>in the UK</w:t>
      </w:r>
      <w:r w:rsidRPr="007156AC">
        <w:rPr>
          <w:rFonts w:asciiTheme="minorHAnsi" w:hAnsiTheme="minorHAnsi"/>
          <w:sz w:val="24"/>
          <w:szCs w:val="24"/>
        </w:rPr>
        <w:t xml:space="preserve"> </w:t>
      </w:r>
      <w:r w:rsidR="00622B37" w:rsidRPr="007156AC">
        <w:rPr>
          <w:rFonts w:asciiTheme="minorHAnsi" w:hAnsiTheme="minorHAnsi"/>
          <w:sz w:val="24"/>
          <w:szCs w:val="24"/>
        </w:rPr>
        <w:t>during</w:t>
      </w:r>
      <w:r w:rsidRPr="007156AC">
        <w:rPr>
          <w:rFonts w:asciiTheme="minorHAnsi" w:hAnsiTheme="minorHAnsi"/>
          <w:sz w:val="24"/>
          <w:szCs w:val="24"/>
        </w:rPr>
        <w:t xml:space="preserve"> 2019</w:t>
      </w:r>
      <w:r w:rsidR="00210EBA">
        <w:rPr>
          <w:rFonts w:asciiTheme="minorHAnsi" w:hAnsiTheme="minorHAnsi"/>
          <w:sz w:val="24"/>
          <w:szCs w:val="24"/>
        </w:rPr>
        <w:t>.</w:t>
      </w:r>
      <w:r w:rsidRPr="007156AC">
        <w:rPr>
          <w:rFonts w:asciiTheme="minorHAnsi" w:hAnsiTheme="minorHAnsi"/>
          <w:sz w:val="24"/>
          <w:szCs w:val="24"/>
        </w:rPr>
        <w:t xml:space="preserve"> </w:t>
      </w:r>
      <w:r w:rsidR="00210EBA" w:rsidRPr="00210EBA">
        <w:rPr>
          <w:rFonts w:asciiTheme="minorHAnsi" w:hAnsiTheme="minorHAnsi"/>
          <w:sz w:val="24"/>
          <w:szCs w:val="24"/>
        </w:rPr>
        <w:t xml:space="preserve">The first product, Cyltezo, is from Boehringer Ingelheim and already has </w:t>
      </w:r>
      <w:r w:rsidR="00410243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Committee for </w:t>
      </w:r>
      <w:r w:rsidR="00410243">
        <w:rPr>
          <w:rFonts w:asciiTheme="minorHAnsi" w:eastAsia="Times New Roman" w:hAnsiTheme="minorHAnsi"/>
          <w:color w:val="000000" w:themeColor="text1"/>
          <w:sz w:val="24"/>
          <w:szCs w:val="24"/>
        </w:rPr>
        <w:lastRenderedPageBreak/>
        <w:t>Medicinal Products for Human Use (CHMP)</w:t>
      </w:r>
      <w:r w:rsidR="00210EBA" w:rsidRPr="00210EBA">
        <w:rPr>
          <w:rFonts w:asciiTheme="minorHAnsi" w:hAnsiTheme="minorHAnsi"/>
          <w:sz w:val="24"/>
          <w:szCs w:val="24"/>
        </w:rPr>
        <w:t xml:space="preserve"> approval, and the second will be brought to the market by Fresenius Kabi. </w:t>
      </w:r>
      <w:r w:rsidR="00715078">
        <w:rPr>
          <w:rFonts w:asciiTheme="minorHAnsi" w:hAnsiTheme="minorHAnsi"/>
          <w:sz w:val="24"/>
          <w:szCs w:val="24"/>
        </w:rPr>
        <w:t>A</w:t>
      </w:r>
      <w:r w:rsidR="00203CFA">
        <w:rPr>
          <w:rFonts w:asciiTheme="minorHAnsi" w:hAnsiTheme="minorHAnsi"/>
          <w:sz w:val="24"/>
          <w:szCs w:val="24"/>
        </w:rPr>
        <w:t>n NHS</w:t>
      </w:r>
      <w:r w:rsidR="00715078">
        <w:rPr>
          <w:rFonts w:asciiTheme="minorHAnsi" w:hAnsiTheme="minorHAnsi"/>
          <w:sz w:val="24"/>
          <w:szCs w:val="24"/>
        </w:rPr>
        <w:t xml:space="preserve"> </w:t>
      </w:r>
      <w:r w:rsidR="00622B37" w:rsidRPr="007156AC">
        <w:rPr>
          <w:rFonts w:asciiTheme="minorHAnsi" w:hAnsiTheme="minorHAnsi"/>
          <w:sz w:val="24"/>
          <w:szCs w:val="24"/>
        </w:rPr>
        <w:t>re</w:t>
      </w:r>
      <w:r w:rsidR="00243FB5">
        <w:rPr>
          <w:rFonts w:asciiTheme="minorHAnsi" w:hAnsiTheme="minorHAnsi"/>
          <w:sz w:val="24"/>
          <w:szCs w:val="24"/>
        </w:rPr>
        <w:t>-</w:t>
      </w:r>
      <w:r w:rsidR="00622B37" w:rsidRPr="007156AC">
        <w:rPr>
          <w:rFonts w:asciiTheme="minorHAnsi" w:hAnsiTheme="minorHAnsi"/>
          <w:sz w:val="24"/>
          <w:szCs w:val="24"/>
        </w:rPr>
        <w:t xml:space="preserve">tender </w:t>
      </w:r>
      <w:r w:rsidR="00203CFA">
        <w:rPr>
          <w:rFonts w:asciiTheme="minorHAnsi" w:hAnsiTheme="minorHAnsi"/>
          <w:sz w:val="24"/>
          <w:szCs w:val="24"/>
        </w:rPr>
        <w:t xml:space="preserve">for 1 December 2019 onwards </w:t>
      </w:r>
      <w:r w:rsidR="00715078">
        <w:rPr>
          <w:rFonts w:asciiTheme="minorHAnsi" w:hAnsiTheme="minorHAnsi"/>
          <w:sz w:val="24"/>
          <w:szCs w:val="24"/>
        </w:rPr>
        <w:t xml:space="preserve">would </w:t>
      </w:r>
      <w:r w:rsidR="00203CFA">
        <w:rPr>
          <w:rFonts w:asciiTheme="minorHAnsi" w:hAnsiTheme="minorHAnsi"/>
          <w:sz w:val="24"/>
          <w:szCs w:val="24"/>
        </w:rPr>
        <w:t>include any</w:t>
      </w:r>
      <w:r w:rsidR="00622B37" w:rsidRPr="007156AC">
        <w:rPr>
          <w:rFonts w:asciiTheme="minorHAnsi" w:hAnsiTheme="minorHAnsi"/>
          <w:sz w:val="24"/>
          <w:szCs w:val="24"/>
        </w:rPr>
        <w:t xml:space="preserve"> additional </w:t>
      </w:r>
      <w:r w:rsidR="00203CFA">
        <w:rPr>
          <w:rFonts w:asciiTheme="minorHAnsi" w:hAnsiTheme="minorHAnsi"/>
          <w:sz w:val="24"/>
          <w:szCs w:val="24"/>
        </w:rPr>
        <w:t xml:space="preserve">available </w:t>
      </w:r>
      <w:r w:rsidR="00622B37" w:rsidRPr="007156AC">
        <w:rPr>
          <w:rFonts w:asciiTheme="minorHAnsi" w:hAnsiTheme="minorHAnsi"/>
          <w:sz w:val="24"/>
          <w:szCs w:val="24"/>
        </w:rPr>
        <w:t>biosimilar products.</w:t>
      </w:r>
    </w:p>
    <w:p w14:paraId="4E49F1A1" w14:textId="77777777" w:rsidR="00561947" w:rsidRPr="007156AC" w:rsidRDefault="00561947" w:rsidP="00561947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05C7799F" w14:textId="77777777" w:rsidR="00684D53" w:rsidRPr="00210EBA" w:rsidRDefault="008C5959" w:rsidP="00932D9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Citrate content</w:t>
      </w:r>
    </w:p>
    <w:p w14:paraId="50916ADA" w14:textId="77777777" w:rsidR="00684D53" w:rsidRDefault="00210EBA" w:rsidP="007156AC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684D53" w:rsidRPr="007156AC">
        <w:rPr>
          <w:rFonts w:asciiTheme="minorHAnsi" w:hAnsiTheme="minorHAnsi"/>
          <w:sz w:val="24"/>
          <w:szCs w:val="24"/>
        </w:rPr>
        <w:t>atient groups and clinicians told us tha</w:t>
      </w:r>
      <w:r w:rsidR="008C5959">
        <w:rPr>
          <w:rFonts w:asciiTheme="minorHAnsi" w:hAnsiTheme="minorHAnsi"/>
          <w:sz w:val="24"/>
          <w:szCs w:val="24"/>
        </w:rPr>
        <w:t>t the availability of a citrate-</w:t>
      </w:r>
      <w:r w:rsidR="00684D53" w:rsidRPr="007156AC">
        <w:rPr>
          <w:rFonts w:asciiTheme="minorHAnsi" w:hAnsiTheme="minorHAnsi"/>
          <w:sz w:val="24"/>
          <w:szCs w:val="24"/>
        </w:rPr>
        <w:t>free biosimilar was important to them as cit</w:t>
      </w:r>
      <w:r w:rsidR="00422C94" w:rsidRPr="007156AC">
        <w:rPr>
          <w:rFonts w:asciiTheme="minorHAnsi" w:hAnsiTheme="minorHAnsi"/>
          <w:sz w:val="24"/>
          <w:szCs w:val="24"/>
        </w:rPr>
        <w:t>rate can</w:t>
      </w:r>
      <w:r w:rsidR="00072BC1" w:rsidRPr="007156AC">
        <w:rPr>
          <w:rFonts w:asciiTheme="minorHAnsi" w:hAnsiTheme="minorHAnsi"/>
          <w:sz w:val="24"/>
          <w:szCs w:val="24"/>
        </w:rPr>
        <w:t xml:space="preserve"> sometimes</w:t>
      </w:r>
      <w:r w:rsidR="00422C94" w:rsidRPr="007156AC">
        <w:rPr>
          <w:rFonts w:asciiTheme="minorHAnsi" w:hAnsiTheme="minorHAnsi"/>
          <w:sz w:val="24"/>
          <w:szCs w:val="24"/>
        </w:rPr>
        <w:t xml:space="preserve"> be associated with</w:t>
      </w:r>
      <w:r w:rsidR="00715078">
        <w:rPr>
          <w:rFonts w:asciiTheme="minorHAnsi" w:hAnsiTheme="minorHAnsi"/>
          <w:sz w:val="24"/>
          <w:szCs w:val="24"/>
        </w:rPr>
        <w:t xml:space="preserve"> discomfort on injection.  The procurement </w:t>
      </w:r>
      <w:r w:rsidR="00072BC1" w:rsidRPr="007156AC">
        <w:rPr>
          <w:rFonts w:asciiTheme="minorHAnsi" w:hAnsiTheme="minorHAnsi"/>
          <w:sz w:val="24"/>
          <w:szCs w:val="24"/>
        </w:rPr>
        <w:t>strategy ensures</w:t>
      </w:r>
      <w:r w:rsidR="00684D53" w:rsidRPr="007156AC">
        <w:rPr>
          <w:rFonts w:asciiTheme="minorHAnsi" w:hAnsiTheme="minorHAnsi"/>
          <w:sz w:val="24"/>
          <w:szCs w:val="24"/>
        </w:rPr>
        <w:t xml:space="preserve"> that each hospital group has access to a c</w:t>
      </w:r>
      <w:r w:rsidR="008C5959">
        <w:rPr>
          <w:rFonts w:asciiTheme="minorHAnsi" w:hAnsiTheme="minorHAnsi"/>
          <w:sz w:val="24"/>
          <w:szCs w:val="24"/>
        </w:rPr>
        <w:t>itrate-</w:t>
      </w:r>
      <w:r w:rsidR="00AA4D4E">
        <w:rPr>
          <w:rFonts w:asciiTheme="minorHAnsi" w:hAnsiTheme="minorHAnsi"/>
          <w:sz w:val="24"/>
          <w:szCs w:val="24"/>
        </w:rPr>
        <w:t xml:space="preserve">free </w:t>
      </w:r>
      <w:r w:rsidR="000461EA">
        <w:rPr>
          <w:rFonts w:asciiTheme="minorHAnsi" w:hAnsiTheme="minorHAnsi"/>
          <w:sz w:val="24"/>
          <w:szCs w:val="24"/>
        </w:rPr>
        <w:t>formulation for situations where this is required</w:t>
      </w:r>
      <w:r w:rsidR="00684D53" w:rsidRPr="007156AC">
        <w:rPr>
          <w:rFonts w:asciiTheme="minorHAnsi" w:hAnsiTheme="minorHAnsi"/>
          <w:sz w:val="24"/>
          <w:szCs w:val="24"/>
        </w:rPr>
        <w:t xml:space="preserve">. </w:t>
      </w:r>
    </w:p>
    <w:p w14:paraId="75BD1FD5" w14:textId="77777777" w:rsidR="008C5959" w:rsidRPr="007156AC" w:rsidRDefault="008C5959" w:rsidP="007156AC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37B2B22" w14:textId="77777777" w:rsidR="00684D53" w:rsidRPr="007156AC" w:rsidRDefault="00072BC1" w:rsidP="00684D53">
      <w:pPr>
        <w:pStyle w:val="ListParagraph"/>
        <w:spacing w:line="276" w:lineRule="auto"/>
        <w:ind w:left="0"/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>P</w:t>
      </w:r>
      <w:r w:rsidR="00684D53" w:rsidRPr="007156AC">
        <w:rPr>
          <w:rFonts w:asciiTheme="minorHAnsi" w:hAnsiTheme="minorHAnsi"/>
          <w:sz w:val="24"/>
          <w:szCs w:val="24"/>
        </w:rPr>
        <w:t>atient experie</w:t>
      </w:r>
      <w:r w:rsidR="00422C94" w:rsidRPr="007156AC">
        <w:rPr>
          <w:rFonts w:asciiTheme="minorHAnsi" w:hAnsiTheme="minorHAnsi"/>
          <w:sz w:val="24"/>
          <w:szCs w:val="24"/>
        </w:rPr>
        <w:t>nce</w:t>
      </w:r>
      <w:r w:rsidRPr="007156AC">
        <w:rPr>
          <w:rFonts w:asciiTheme="minorHAnsi" w:hAnsiTheme="minorHAnsi"/>
          <w:sz w:val="24"/>
          <w:szCs w:val="24"/>
        </w:rPr>
        <w:t xml:space="preserve"> in this context is variable, and </w:t>
      </w:r>
      <w:r w:rsidR="00210EBA">
        <w:rPr>
          <w:rFonts w:asciiTheme="minorHAnsi" w:hAnsiTheme="minorHAnsi"/>
          <w:sz w:val="24"/>
          <w:szCs w:val="24"/>
        </w:rPr>
        <w:t xml:space="preserve">the evidence for the direct effect of citrate on injection site reaction is very limited.  For this reason </w:t>
      </w:r>
      <w:r w:rsidRPr="007156AC">
        <w:rPr>
          <w:rFonts w:asciiTheme="minorHAnsi" w:hAnsiTheme="minorHAnsi"/>
          <w:sz w:val="24"/>
          <w:szCs w:val="24"/>
        </w:rPr>
        <w:t xml:space="preserve">it is difficult to define clear </w:t>
      </w:r>
      <w:r w:rsidR="00210EBA">
        <w:rPr>
          <w:rFonts w:asciiTheme="minorHAnsi" w:hAnsiTheme="minorHAnsi"/>
          <w:sz w:val="24"/>
          <w:szCs w:val="24"/>
        </w:rPr>
        <w:t xml:space="preserve">prescribing </w:t>
      </w:r>
      <w:r w:rsidRPr="007156AC">
        <w:rPr>
          <w:rFonts w:asciiTheme="minorHAnsi" w:hAnsiTheme="minorHAnsi"/>
          <w:sz w:val="24"/>
          <w:szCs w:val="24"/>
        </w:rPr>
        <w:t>criteria</w:t>
      </w:r>
      <w:r w:rsidR="008C5959">
        <w:rPr>
          <w:rFonts w:asciiTheme="minorHAnsi" w:hAnsiTheme="minorHAnsi"/>
          <w:sz w:val="24"/>
          <w:szCs w:val="24"/>
        </w:rPr>
        <w:t xml:space="preserve"> for citrate-</w:t>
      </w:r>
      <w:r w:rsidR="00210EBA">
        <w:rPr>
          <w:rFonts w:asciiTheme="minorHAnsi" w:hAnsiTheme="minorHAnsi"/>
          <w:sz w:val="24"/>
          <w:szCs w:val="24"/>
        </w:rPr>
        <w:t>free products</w:t>
      </w:r>
      <w:r w:rsidRPr="007156AC">
        <w:rPr>
          <w:rFonts w:asciiTheme="minorHAnsi" w:hAnsiTheme="minorHAnsi"/>
          <w:sz w:val="24"/>
          <w:szCs w:val="24"/>
        </w:rPr>
        <w:t>.  C</w:t>
      </w:r>
      <w:r w:rsidR="00422C94" w:rsidRPr="007156AC">
        <w:rPr>
          <w:rFonts w:asciiTheme="minorHAnsi" w:hAnsiTheme="minorHAnsi"/>
          <w:sz w:val="24"/>
          <w:szCs w:val="24"/>
        </w:rPr>
        <w:t>linicians should</w:t>
      </w:r>
      <w:r w:rsidR="00684D53" w:rsidRPr="007156AC">
        <w:rPr>
          <w:rFonts w:asciiTheme="minorHAnsi" w:hAnsiTheme="minorHAnsi"/>
          <w:sz w:val="24"/>
          <w:szCs w:val="24"/>
        </w:rPr>
        <w:t xml:space="preserve"> </w:t>
      </w:r>
      <w:r w:rsidRPr="007156AC">
        <w:rPr>
          <w:rFonts w:asciiTheme="minorHAnsi" w:hAnsiTheme="minorHAnsi"/>
          <w:sz w:val="24"/>
          <w:szCs w:val="24"/>
        </w:rPr>
        <w:t xml:space="preserve">therefore </w:t>
      </w:r>
      <w:r w:rsidR="00684D53" w:rsidRPr="007156AC">
        <w:rPr>
          <w:rFonts w:asciiTheme="minorHAnsi" w:hAnsiTheme="minorHAnsi"/>
          <w:sz w:val="24"/>
          <w:szCs w:val="24"/>
        </w:rPr>
        <w:t xml:space="preserve">consider the most </w:t>
      </w:r>
      <w:r w:rsidR="00210EBA">
        <w:rPr>
          <w:rFonts w:asciiTheme="minorHAnsi" w:hAnsiTheme="minorHAnsi"/>
          <w:sz w:val="24"/>
          <w:szCs w:val="24"/>
        </w:rPr>
        <w:t>appropriate and cost-</w:t>
      </w:r>
      <w:r w:rsidR="00684D53" w:rsidRPr="007156AC">
        <w:rPr>
          <w:rFonts w:asciiTheme="minorHAnsi" w:hAnsiTheme="minorHAnsi"/>
          <w:sz w:val="24"/>
          <w:szCs w:val="24"/>
        </w:rPr>
        <w:t xml:space="preserve">effective treatment </w:t>
      </w:r>
      <w:r w:rsidR="00422C94" w:rsidRPr="007156AC">
        <w:rPr>
          <w:rFonts w:asciiTheme="minorHAnsi" w:hAnsiTheme="minorHAnsi"/>
          <w:sz w:val="24"/>
          <w:szCs w:val="24"/>
        </w:rPr>
        <w:t>for each patient</w:t>
      </w:r>
      <w:r w:rsidRPr="007156AC">
        <w:rPr>
          <w:rFonts w:asciiTheme="minorHAnsi" w:hAnsiTheme="minorHAnsi"/>
          <w:sz w:val="24"/>
          <w:szCs w:val="24"/>
        </w:rPr>
        <w:t xml:space="preserve"> when making a prescribing deci</w:t>
      </w:r>
      <w:r w:rsidR="00210EBA">
        <w:rPr>
          <w:rFonts w:asciiTheme="minorHAnsi" w:hAnsiTheme="minorHAnsi"/>
          <w:sz w:val="24"/>
          <w:szCs w:val="24"/>
        </w:rPr>
        <w:t>si</w:t>
      </w:r>
      <w:r w:rsidRPr="007156AC">
        <w:rPr>
          <w:rFonts w:asciiTheme="minorHAnsi" w:hAnsiTheme="minorHAnsi"/>
          <w:sz w:val="24"/>
          <w:szCs w:val="24"/>
        </w:rPr>
        <w:t>o</w:t>
      </w:r>
      <w:r w:rsidR="00210EBA">
        <w:rPr>
          <w:rFonts w:asciiTheme="minorHAnsi" w:hAnsiTheme="minorHAnsi"/>
          <w:sz w:val="24"/>
          <w:szCs w:val="24"/>
        </w:rPr>
        <w:t>n.  S</w:t>
      </w:r>
      <w:r w:rsidR="008C5959">
        <w:rPr>
          <w:rFonts w:asciiTheme="minorHAnsi" w:hAnsiTheme="minorHAnsi"/>
          <w:sz w:val="24"/>
          <w:szCs w:val="24"/>
        </w:rPr>
        <w:t>ome citrate-</w:t>
      </w:r>
      <w:r w:rsidR="00422C94" w:rsidRPr="007156AC">
        <w:rPr>
          <w:rFonts w:asciiTheme="minorHAnsi" w:hAnsiTheme="minorHAnsi"/>
          <w:sz w:val="24"/>
          <w:szCs w:val="24"/>
        </w:rPr>
        <w:t>free formulations may be ‘second line’ treatments</w:t>
      </w:r>
      <w:r w:rsidR="00210EBA">
        <w:rPr>
          <w:rFonts w:asciiTheme="minorHAnsi" w:hAnsiTheme="minorHAnsi"/>
          <w:sz w:val="24"/>
          <w:szCs w:val="24"/>
        </w:rPr>
        <w:t>,</w:t>
      </w:r>
      <w:r w:rsidR="00422C94" w:rsidRPr="007156AC">
        <w:rPr>
          <w:rFonts w:asciiTheme="minorHAnsi" w:hAnsiTheme="minorHAnsi"/>
          <w:sz w:val="24"/>
          <w:szCs w:val="24"/>
        </w:rPr>
        <w:t xml:space="preserve"> so clinicians will need to decide with patients</w:t>
      </w:r>
      <w:r w:rsidR="00CE5758" w:rsidRPr="007156AC">
        <w:rPr>
          <w:rFonts w:asciiTheme="minorHAnsi" w:hAnsiTheme="minorHAnsi"/>
          <w:sz w:val="24"/>
          <w:szCs w:val="24"/>
        </w:rPr>
        <w:t xml:space="preserve"> which formulation is most appropriate</w:t>
      </w:r>
      <w:r w:rsidR="00210EBA">
        <w:rPr>
          <w:rFonts w:asciiTheme="minorHAnsi" w:hAnsiTheme="minorHAnsi"/>
          <w:sz w:val="24"/>
          <w:szCs w:val="24"/>
        </w:rPr>
        <w:t xml:space="preserve"> in such circumstances</w:t>
      </w:r>
      <w:r w:rsidR="00684D53" w:rsidRPr="007156AC">
        <w:rPr>
          <w:rFonts w:asciiTheme="minorHAnsi" w:hAnsiTheme="minorHAnsi"/>
          <w:sz w:val="24"/>
          <w:szCs w:val="24"/>
        </w:rPr>
        <w:t>.</w:t>
      </w:r>
    </w:p>
    <w:p w14:paraId="5732A1D3" w14:textId="77777777" w:rsidR="00684D53" w:rsidRPr="007156AC" w:rsidRDefault="00684D53" w:rsidP="00684D53">
      <w:pPr>
        <w:pStyle w:val="ListParagraph"/>
        <w:spacing w:line="276" w:lineRule="auto"/>
        <w:ind w:left="0"/>
        <w:rPr>
          <w:rFonts w:asciiTheme="minorHAnsi" w:hAnsiTheme="minorHAnsi"/>
          <w:b/>
          <w:sz w:val="24"/>
          <w:szCs w:val="24"/>
        </w:rPr>
      </w:pPr>
    </w:p>
    <w:p w14:paraId="4C76F9D6" w14:textId="77777777" w:rsidR="00684D53" w:rsidRPr="007156AC" w:rsidRDefault="00684D53" w:rsidP="00932D9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156AC">
        <w:rPr>
          <w:rFonts w:asciiTheme="minorHAnsi" w:hAnsiTheme="minorHAnsi"/>
          <w:b/>
          <w:sz w:val="24"/>
          <w:szCs w:val="24"/>
        </w:rPr>
        <w:t>Paediatric prescribing</w:t>
      </w:r>
    </w:p>
    <w:p w14:paraId="0B5B6CF3" w14:textId="77777777" w:rsidR="00684D53" w:rsidRPr="007156AC" w:rsidRDefault="00684D53" w:rsidP="00684D53">
      <w:pPr>
        <w:spacing w:line="276" w:lineRule="auto"/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>The majority of adalimumab use (</w:t>
      </w:r>
      <w:r w:rsidR="00210EBA">
        <w:rPr>
          <w:rFonts w:asciiTheme="minorHAnsi" w:hAnsiTheme="minorHAnsi"/>
          <w:sz w:val="24"/>
          <w:szCs w:val="24"/>
        </w:rPr>
        <w:t xml:space="preserve">approximately </w:t>
      </w:r>
      <w:r w:rsidRPr="007156AC">
        <w:rPr>
          <w:rFonts w:asciiTheme="minorHAnsi" w:hAnsiTheme="minorHAnsi"/>
          <w:sz w:val="24"/>
          <w:szCs w:val="24"/>
        </w:rPr>
        <w:t>94%) is</w:t>
      </w:r>
      <w:r w:rsidR="00C450A2">
        <w:rPr>
          <w:rFonts w:asciiTheme="minorHAnsi" w:hAnsiTheme="minorHAnsi"/>
          <w:sz w:val="24"/>
          <w:szCs w:val="24"/>
        </w:rPr>
        <w:t xml:space="preserve"> commissioned by CCGs, with 6% of us</w:t>
      </w:r>
      <w:r w:rsidRPr="007156AC">
        <w:rPr>
          <w:rFonts w:asciiTheme="minorHAnsi" w:hAnsiTheme="minorHAnsi"/>
          <w:sz w:val="24"/>
          <w:szCs w:val="24"/>
        </w:rPr>
        <w:t>e commissioned by Specialised Commissioning</w:t>
      </w:r>
      <w:r w:rsidR="00C450A2">
        <w:rPr>
          <w:rFonts w:asciiTheme="minorHAnsi" w:hAnsiTheme="minorHAnsi"/>
          <w:sz w:val="24"/>
          <w:szCs w:val="24"/>
        </w:rPr>
        <w:t>,</w:t>
      </w:r>
      <w:r w:rsidRPr="007156AC">
        <w:rPr>
          <w:rFonts w:asciiTheme="minorHAnsi" w:hAnsiTheme="minorHAnsi"/>
          <w:sz w:val="24"/>
          <w:szCs w:val="24"/>
        </w:rPr>
        <w:t xml:space="preserve"> prim</w:t>
      </w:r>
      <w:r w:rsidR="00C450A2">
        <w:rPr>
          <w:rFonts w:asciiTheme="minorHAnsi" w:hAnsiTheme="minorHAnsi"/>
          <w:sz w:val="24"/>
          <w:szCs w:val="24"/>
        </w:rPr>
        <w:t xml:space="preserve">arily </w:t>
      </w:r>
      <w:r w:rsidRPr="007156AC">
        <w:rPr>
          <w:rFonts w:asciiTheme="minorHAnsi" w:hAnsiTheme="minorHAnsi"/>
          <w:sz w:val="24"/>
          <w:szCs w:val="24"/>
        </w:rPr>
        <w:t>focused on paediatrics.</w:t>
      </w:r>
      <w:r w:rsidR="007156AC" w:rsidRPr="007156AC">
        <w:rPr>
          <w:rFonts w:asciiTheme="minorHAnsi" w:hAnsiTheme="minorHAnsi"/>
          <w:sz w:val="24"/>
          <w:szCs w:val="24"/>
        </w:rPr>
        <w:t xml:space="preserve">  </w:t>
      </w:r>
      <w:r w:rsidR="00CE5758" w:rsidRPr="007156AC">
        <w:rPr>
          <w:rFonts w:asciiTheme="minorHAnsi" w:hAnsiTheme="minorHAnsi"/>
          <w:sz w:val="24"/>
          <w:szCs w:val="24"/>
        </w:rPr>
        <w:t xml:space="preserve">In paediatrics, adalimumab is prescribed </w:t>
      </w:r>
      <w:r w:rsidRPr="007156AC">
        <w:rPr>
          <w:rFonts w:asciiTheme="minorHAnsi" w:hAnsiTheme="minorHAnsi"/>
          <w:sz w:val="24"/>
          <w:szCs w:val="24"/>
        </w:rPr>
        <w:t>for a range of indications including paediatric uveitis, juvenile idiopathic arthritis, paediatric plaque psoriasis and paediatric Crohn’s disease.</w:t>
      </w:r>
      <w:r w:rsidR="00CE5758" w:rsidRPr="007156AC">
        <w:rPr>
          <w:rFonts w:asciiTheme="minorHAnsi" w:hAnsiTheme="minorHAnsi"/>
          <w:sz w:val="24"/>
          <w:szCs w:val="24"/>
        </w:rPr>
        <w:t xml:space="preserve">  T</w:t>
      </w:r>
      <w:r w:rsidRPr="007156AC">
        <w:rPr>
          <w:rFonts w:asciiTheme="minorHAnsi" w:hAnsiTheme="minorHAnsi"/>
          <w:sz w:val="24"/>
          <w:szCs w:val="24"/>
        </w:rPr>
        <w:t>he licens</w:t>
      </w:r>
      <w:r w:rsidR="00243FB5">
        <w:rPr>
          <w:rFonts w:asciiTheme="minorHAnsi" w:hAnsiTheme="minorHAnsi"/>
          <w:sz w:val="24"/>
          <w:szCs w:val="24"/>
        </w:rPr>
        <w:t>es for the different products</w:t>
      </w:r>
      <w:r w:rsidRPr="007156AC">
        <w:rPr>
          <w:rFonts w:asciiTheme="minorHAnsi" w:hAnsiTheme="minorHAnsi"/>
          <w:sz w:val="24"/>
          <w:szCs w:val="24"/>
        </w:rPr>
        <w:t xml:space="preserve"> vary</w:t>
      </w:r>
      <w:r w:rsidR="00CE5758" w:rsidRPr="007156AC">
        <w:rPr>
          <w:rFonts w:asciiTheme="minorHAnsi" w:hAnsiTheme="minorHAnsi"/>
          <w:sz w:val="24"/>
          <w:szCs w:val="24"/>
        </w:rPr>
        <w:t xml:space="preserve"> slightly at present</w:t>
      </w:r>
      <w:r w:rsidR="00210EBA">
        <w:rPr>
          <w:rFonts w:asciiTheme="minorHAnsi" w:hAnsiTheme="minorHAnsi"/>
          <w:sz w:val="24"/>
          <w:szCs w:val="24"/>
        </w:rPr>
        <w:t>, as detailed in the table above</w:t>
      </w:r>
      <w:r w:rsidRPr="007156AC">
        <w:rPr>
          <w:rFonts w:asciiTheme="minorHAnsi" w:hAnsiTheme="minorHAnsi"/>
          <w:sz w:val="24"/>
          <w:szCs w:val="24"/>
        </w:rPr>
        <w:t>.</w:t>
      </w:r>
      <w:r w:rsidR="00210EBA">
        <w:rPr>
          <w:rFonts w:asciiTheme="minorHAnsi" w:hAnsiTheme="minorHAnsi"/>
          <w:sz w:val="24"/>
          <w:szCs w:val="24"/>
        </w:rPr>
        <w:t xml:space="preserve">  The availability of the 20mg formulation and differing citrate content </w:t>
      </w:r>
      <w:r w:rsidR="00745E57">
        <w:rPr>
          <w:rFonts w:asciiTheme="minorHAnsi" w:hAnsiTheme="minorHAnsi"/>
          <w:sz w:val="24"/>
          <w:szCs w:val="24"/>
        </w:rPr>
        <w:t>may</w:t>
      </w:r>
      <w:r w:rsidR="00210EBA">
        <w:rPr>
          <w:rFonts w:asciiTheme="minorHAnsi" w:hAnsiTheme="minorHAnsi"/>
          <w:sz w:val="24"/>
          <w:szCs w:val="24"/>
        </w:rPr>
        <w:t xml:space="preserve"> be pertinent to prescribing decisions for children requiring treatment.</w:t>
      </w:r>
    </w:p>
    <w:p w14:paraId="4D6F5076" w14:textId="77777777" w:rsidR="00684D53" w:rsidRPr="007156AC" w:rsidRDefault="00684D53" w:rsidP="00684D53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426EA2D2" w14:textId="77777777" w:rsidR="00A5273A" w:rsidRPr="007156AC" w:rsidRDefault="00103ED4" w:rsidP="00932D9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156AC">
        <w:rPr>
          <w:rFonts w:asciiTheme="minorHAnsi" w:hAnsiTheme="minorHAnsi"/>
          <w:b/>
          <w:sz w:val="24"/>
          <w:szCs w:val="24"/>
        </w:rPr>
        <w:t>Homecare</w:t>
      </w:r>
    </w:p>
    <w:p w14:paraId="296937F8" w14:textId="77777777" w:rsidR="00E8101F" w:rsidRPr="000D1194" w:rsidRDefault="00A5273A" w:rsidP="00932D94">
      <w:pPr>
        <w:spacing w:line="276" w:lineRule="auto"/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 xml:space="preserve">There is a comprehensive set of </w:t>
      </w:r>
      <w:r w:rsidR="009B0A6A">
        <w:rPr>
          <w:rFonts w:asciiTheme="minorHAnsi" w:hAnsiTheme="minorHAnsi"/>
          <w:sz w:val="24"/>
          <w:szCs w:val="24"/>
        </w:rPr>
        <w:t xml:space="preserve">management information and </w:t>
      </w:r>
      <w:r w:rsidRPr="007156AC">
        <w:rPr>
          <w:rFonts w:asciiTheme="minorHAnsi" w:hAnsiTheme="minorHAnsi"/>
          <w:sz w:val="24"/>
          <w:szCs w:val="24"/>
        </w:rPr>
        <w:t>resources to s</w:t>
      </w:r>
      <w:r w:rsidR="00896F03">
        <w:rPr>
          <w:rFonts w:asciiTheme="minorHAnsi" w:hAnsiTheme="minorHAnsi"/>
          <w:sz w:val="24"/>
          <w:szCs w:val="24"/>
        </w:rPr>
        <w:t>upport homecare switching plans</w:t>
      </w:r>
      <w:r w:rsidRPr="007156AC">
        <w:rPr>
          <w:rFonts w:asciiTheme="minorHAnsi" w:hAnsiTheme="minorHAnsi"/>
          <w:sz w:val="24"/>
          <w:szCs w:val="24"/>
        </w:rPr>
        <w:t xml:space="preserve"> available via the </w:t>
      </w:r>
      <w:r w:rsidR="002B779C" w:rsidRPr="00243FB5">
        <w:rPr>
          <w:rFonts w:asciiTheme="minorHAnsi" w:hAnsiTheme="minorHAnsi"/>
          <w:sz w:val="24"/>
          <w:szCs w:val="24"/>
        </w:rPr>
        <w:t xml:space="preserve">implementation </w:t>
      </w:r>
      <w:r w:rsidRPr="00243FB5">
        <w:rPr>
          <w:rFonts w:asciiTheme="minorHAnsi" w:hAnsiTheme="minorHAnsi"/>
          <w:sz w:val="24"/>
          <w:szCs w:val="24"/>
        </w:rPr>
        <w:t>toolkit</w:t>
      </w:r>
      <w:r w:rsidR="00072BC1" w:rsidRPr="007156AC">
        <w:rPr>
          <w:rFonts w:asciiTheme="minorHAnsi" w:hAnsiTheme="minorHAnsi"/>
          <w:sz w:val="24"/>
          <w:szCs w:val="24"/>
        </w:rPr>
        <w:t>.</w:t>
      </w:r>
      <w:r w:rsidR="00745E57">
        <w:rPr>
          <w:rFonts w:asciiTheme="minorHAnsi" w:hAnsiTheme="minorHAnsi"/>
          <w:sz w:val="24"/>
          <w:szCs w:val="24"/>
        </w:rPr>
        <w:t xml:space="preserve"> This</w:t>
      </w:r>
      <w:r w:rsidRPr="007156AC">
        <w:rPr>
          <w:rFonts w:asciiTheme="minorHAnsi" w:hAnsiTheme="minorHAnsi"/>
          <w:sz w:val="24"/>
          <w:szCs w:val="24"/>
        </w:rPr>
        <w:t xml:space="preserve"> include</w:t>
      </w:r>
      <w:r w:rsidR="00072BC1" w:rsidRPr="007156AC">
        <w:rPr>
          <w:rFonts w:asciiTheme="minorHAnsi" w:hAnsiTheme="minorHAnsi"/>
          <w:sz w:val="24"/>
          <w:szCs w:val="24"/>
        </w:rPr>
        <w:t>s</w:t>
      </w:r>
      <w:r w:rsidRPr="007156AC">
        <w:rPr>
          <w:rFonts w:asciiTheme="minorHAnsi" w:hAnsiTheme="minorHAnsi"/>
          <w:sz w:val="24"/>
          <w:szCs w:val="24"/>
        </w:rPr>
        <w:t xml:space="preserve"> a timetable and suggested switch plan as well as template letters and information for patients. </w:t>
      </w:r>
      <w:r w:rsidR="00E8101F" w:rsidRPr="009541FA">
        <w:rPr>
          <w:rFonts w:asciiTheme="minorHAnsi" w:hAnsiTheme="minorHAnsi"/>
          <w:color w:val="000000" w:themeColor="text1"/>
          <w:sz w:val="24"/>
          <w:szCs w:val="24"/>
        </w:rPr>
        <w:t xml:space="preserve">Further information and guidance can be found in Appendix 4c </w:t>
      </w:r>
      <w:r w:rsidR="00DF1E1E">
        <w:rPr>
          <w:rFonts w:asciiTheme="minorHAnsi" w:hAnsiTheme="minorHAnsi"/>
          <w:color w:val="000000" w:themeColor="text1"/>
          <w:sz w:val="24"/>
          <w:szCs w:val="24"/>
        </w:rPr>
        <w:t xml:space="preserve">in the </w:t>
      </w:r>
      <w:hyperlink r:id="rId20" w:history="1">
        <w:r w:rsidR="00DF1E1E" w:rsidRPr="00DF1E1E">
          <w:rPr>
            <w:rStyle w:val="Hyperlink"/>
            <w:rFonts w:asciiTheme="minorHAnsi" w:hAnsiTheme="minorHAnsi"/>
            <w:sz w:val="24"/>
            <w:szCs w:val="24"/>
          </w:rPr>
          <w:t>Homecare Handbook</w:t>
        </w:r>
      </w:hyperlink>
    </w:p>
    <w:p w14:paraId="4494EB3A" w14:textId="77777777" w:rsidR="00E8101F" w:rsidRPr="00A74B25" w:rsidRDefault="00E8101F" w:rsidP="00932D94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2010EA83" w14:textId="77777777" w:rsidR="009541FA" w:rsidRPr="00DF1E1E" w:rsidRDefault="00E8101F" w:rsidP="00932D9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541FA">
        <w:rPr>
          <w:rFonts w:asciiTheme="minorHAnsi" w:hAnsiTheme="minorHAnsi"/>
          <w:b/>
          <w:color w:val="000000" w:themeColor="text1"/>
          <w:sz w:val="24"/>
          <w:szCs w:val="24"/>
        </w:rPr>
        <w:t>Homec</w:t>
      </w:r>
      <w:r w:rsidR="009541FA" w:rsidRPr="009541FA">
        <w:rPr>
          <w:rFonts w:asciiTheme="minorHAnsi" w:hAnsiTheme="minorHAnsi"/>
          <w:b/>
          <w:color w:val="000000" w:themeColor="text1"/>
          <w:sz w:val="24"/>
          <w:szCs w:val="24"/>
        </w:rPr>
        <w:t>are service injection training</w:t>
      </w:r>
    </w:p>
    <w:p w14:paraId="44016048" w14:textId="77777777" w:rsidR="00E8101F" w:rsidRPr="009541FA" w:rsidRDefault="00E8101F" w:rsidP="009541FA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541FA">
        <w:rPr>
          <w:rFonts w:asciiTheme="minorHAnsi" w:hAnsiTheme="minorHAnsi"/>
          <w:color w:val="000000" w:themeColor="text1"/>
          <w:sz w:val="24"/>
          <w:szCs w:val="24"/>
        </w:rPr>
        <w:t xml:space="preserve">All homecare provider nursing teams will be trained on the use of all biosimilar devices prior to </w:t>
      </w:r>
      <w:r w:rsidR="00772378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9541FA">
        <w:rPr>
          <w:rFonts w:asciiTheme="minorHAnsi" w:hAnsiTheme="minorHAnsi"/>
          <w:color w:val="000000" w:themeColor="text1"/>
          <w:sz w:val="24"/>
          <w:szCs w:val="24"/>
        </w:rPr>
        <w:t xml:space="preserve"> December</w:t>
      </w:r>
      <w:r w:rsidR="00772378">
        <w:rPr>
          <w:rFonts w:asciiTheme="minorHAnsi" w:hAnsiTheme="minorHAnsi"/>
          <w:color w:val="000000" w:themeColor="text1"/>
          <w:sz w:val="24"/>
          <w:szCs w:val="24"/>
        </w:rPr>
        <w:t xml:space="preserve"> 2018</w:t>
      </w:r>
      <w:r w:rsidRPr="009541FA">
        <w:rPr>
          <w:rFonts w:asciiTheme="minorHAnsi" w:hAnsiTheme="minorHAnsi"/>
          <w:color w:val="000000" w:themeColor="text1"/>
          <w:sz w:val="24"/>
          <w:szCs w:val="24"/>
        </w:rPr>
        <w:t>. Patients switching from the originator to a biosimilar will be offered a telephone consultation with a homecare nurse to discuss the use of their new device and their training needs. The expectation is that the majority of patients will not require a home visit for injection training with their new device following this telephone consultation.</w:t>
      </w:r>
    </w:p>
    <w:p w14:paraId="03D788F2" w14:textId="77777777" w:rsidR="00605026" w:rsidRPr="007156AC" w:rsidRDefault="00605026" w:rsidP="00605026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7EAD56C5" w14:textId="77777777" w:rsidR="00BD0DD9" w:rsidRPr="007156AC" w:rsidRDefault="00260CDC" w:rsidP="00932D9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156AC">
        <w:rPr>
          <w:rFonts w:asciiTheme="minorHAnsi" w:hAnsiTheme="minorHAnsi"/>
          <w:b/>
          <w:sz w:val="24"/>
          <w:szCs w:val="24"/>
        </w:rPr>
        <w:t>Clinical questions</w:t>
      </w:r>
    </w:p>
    <w:p w14:paraId="5AE6BFDF" w14:textId="77777777" w:rsidR="00BD0DD9" w:rsidRPr="007156AC" w:rsidRDefault="00BD0DD9" w:rsidP="00715078">
      <w:pPr>
        <w:spacing w:line="276" w:lineRule="auto"/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lastRenderedPageBreak/>
        <w:t>We have been asked about antibody testing</w:t>
      </w:r>
      <w:r w:rsidR="009A10FF" w:rsidRPr="007156AC">
        <w:rPr>
          <w:rFonts w:asciiTheme="minorHAnsi" w:hAnsiTheme="minorHAnsi"/>
          <w:sz w:val="24"/>
          <w:szCs w:val="24"/>
        </w:rPr>
        <w:t xml:space="preserve"> and would note that any such laboratory service is being kept separate from the contractual arrangements for the products.</w:t>
      </w:r>
    </w:p>
    <w:p w14:paraId="615BB509" w14:textId="77777777" w:rsidR="00BD0DD9" w:rsidRPr="007156AC" w:rsidRDefault="00BD0DD9" w:rsidP="00715078">
      <w:pPr>
        <w:pStyle w:val="ListParagraph"/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163D111C" w14:textId="77777777" w:rsidR="00D528E3" w:rsidRPr="007156AC" w:rsidRDefault="007E33F5" w:rsidP="00932D9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156AC">
        <w:rPr>
          <w:rFonts w:asciiTheme="minorHAnsi" w:hAnsiTheme="minorHAnsi"/>
          <w:b/>
          <w:sz w:val="24"/>
          <w:szCs w:val="24"/>
        </w:rPr>
        <w:t xml:space="preserve">Contact </w:t>
      </w:r>
      <w:r w:rsidR="00F331CB" w:rsidRPr="007156AC">
        <w:rPr>
          <w:rFonts w:asciiTheme="minorHAnsi" w:hAnsiTheme="minorHAnsi"/>
          <w:b/>
          <w:sz w:val="24"/>
          <w:szCs w:val="24"/>
        </w:rPr>
        <w:t>u</w:t>
      </w:r>
      <w:r w:rsidRPr="007156AC">
        <w:rPr>
          <w:rFonts w:asciiTheme="minorHAnsi" w:hAnsiTheme="minorHAnsi"/>
          <w:b/>
          <w:sz w:val="24"/>
          <w:szCs w:val="24"/>
        </w:rPr>
        <w:t>s</w:t>
      </w:r>
    </w:p>
    <w:p w14:paraId="3FC615CC" w14:textId="77777777" w:rsidR="00537FD2" w:rsidRPr="007156AC" w:rsidRDefault="00537FD2" w:rsidP="00537FD2">
      <w:pPr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 xml:space="preserve">RMOC regional pharmacist (NHSE/NHSI) </w:t>
      </w:r>
      <w:r w:rsidR="00872D1D" w:rsidRPr="007156AC">
        <w:rPr>
          <w:rFonts w:asciiTheme="minorHAnsi" w:hAnsiTheme="minorHAnsi"/>
          <w:sz w:val="24"/>
          <w:szCs w:val="24"/>
        </w:rPr>
        <w:t>contact details</w:t>
      </w:r>
      <w:r w:rsidRPr="007156AC">
        <w:rPr>
          <w:rFonts w:asciiTheme="minorHAnsi" w:hAnsiTheme="minorHAnsi"/>
          <w:sz w:val="24"/>
          <w:szCs w:val="24"/>
        </w:rPr>
        <w:t>:</w:t>
      </w:r>
    </w:p>
    <w:p w14:paraId="2D3EF68C" w14:textId="77777777" w:rsidR="00537FD2" w:rsidRPr="007156AC" w:rsidRDefault="00537FD2" w:rsidP="00537FD2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 xml:space="preserve">South East and South West – </w:t>
      </w:r>
      <w:hyperlink r:id="rId21" w:history="1">
        <w:r w:rsidRPr="007156AC">
          <w:rPr>
            <w:rStyle w:val="Hyperlink"/>
            <w:rFonts w:asciiTheme="minorHAnsi" w:hAnsiTheme="minorHAnsi"/>
            <w:color w:val="auto"/>
            <w:sz w:val="24"/>
            <w:szCs w:val="24"/>
          </w:rPr>
          <w:t>Stephen.brown17@nhs.net</w:t>
        </w:r>
      </w:hyperlink>
    </w:p>
    <w:p w14:paraId="63851E9E" w14:textId="77777777" w:rsidR="00537FD2" w:rsidRPr="007156AC" w:rsidRDefault="00537FD2" w:rsidP="00BD0DD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 xml:space="preserve">London - </w:t>
      </w:r>
      <w:hyperlink r:id="rId22" w:history="1">
        <w:r w:rsidR="00BD0DD9" w:rsidRPr="007156AC">
          <w:rPr>
            <w:rStyle w:val="Hyperlink"/>
            <w:rFonts w:asciiTheme="minorHAnsi" w:hAnsiTheme="minorHAnsi"/>
            <w:color w:val="auto"/>
            <w:sz w:val="24"/>
            <w:szCs w:val="24"/>
          </w:rPr>
          <w:t>richard.goodman@nhs.net</w:t>
        </w:r>
      </w:hyperlink>
      <w:r w:rsidR="00BD0DD9" w:rsidRPr="007156AC">
        <w:rPr>
          <w:rFonts w:asciiTheme="minorHAnsi" w:hAnsiTheme="minorHAnsi"/>
          <w:sz w:val="24"/>
          <w:szCs w:val="24"/>
        </w:rPr>
        <w:t xml:space="preserve"> </w:t>
      </w:r>
    </w:p>
    <w:p w14:paraId="04F4715D" w14:textId="77777777" w:rsidR="00537FD2" w:rsidRPr="007156AC" w:rsidRDefault="00537FD2" w:rsidP="00537FD2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 xml:space="preserve">Midlands and East - </w:t>
      </w:r>
      <w:hyperlink r:id="rId23" w:history="1">
        <w:r w:rsidRPr="007156AC">
          <w:rPr>
            <w:rStyle w:val="Hyperlink"/>
            <w:rFonts w:asciiTheme="minorHAnsi" w:hAnsiTheme="minorHAnsi"/>
            <w:color w:val="auto"/>
            <w:sz w:val="24"/>
            <w:szCs w:val="24"/>
          </w:rPr>
          <w:t>richard.seal1@nhs.net</w:t>
        </w:r>
      </w:hyperlink>
    </w:p>
    <w:p w14:paraId="30ADA7B8" w14:textId="77777777" w:rsidR="00537FD2" w:rsidRPr="007156AC" w:rsidRDefault="00537FD2" w:rsidP="00537FD2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156AC">
        <w:rPr>
          <w:rFonts w:asciiTheme="minorHAnsi" w:hAnsiTheme="minorHAnsi"/>
          <w:sz w:val="24"/>
          <w:szCs w:val="24"/>
        </w:rPr>
        <w:t xml:space="preserve">North - </w:t>
      </w:r>
      <w:hyperlink r:id="rId24" w:history="1">
        <w:r w:rsidRPr="007156AC">
          <w:rPr>
            <w:rStyle w:val="Hyperlink"/>
            <w:rFonts w:asciiTheme="minorHAnsi" w:hAnsiTheme="minorHAnsi"/>
            <w:color w:val="auto"/>
            <w:sz w:val="24"/>
            <w:szCs w:val="24"/>
          </w:rPr>
          <w:t>michelecossey@nhs.net</w:t>
        </w:r>
      </w:hyperlink>
    </w:p>
    <w:p w14:paraId="11081AC2" w14:textId="77777777" w:rsidR="00537FD2" w:rsidRPr="007156AC" w:rsidRDefault="00537FD2" w:rsidP="00742C71">
      <w:pPr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156AC" w:rsidRPr="007156AC" w14:paraId="0E9F4B84" w14:textId="77777777" w:rsidTr="00872D1D">
        <w:tc>
          <w:tcPr>
            <w:tcW w:w="9242" w:type="dxa"/>
            <w:shd w:val="clear" w:color="auto" w:fill="DAEEF3" w:themeFill="accent5" w:themeFillTint="33"/>
          </w:tcPr>
          <w:p w14:paraId="7EF740F1" w14:textId="77777777" w:rsidR="00B67C6B" w:rsidRDefault="00B67C6B" w:rsidP="00B67C6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6E834DCA" w14:textId="77777777" w:rsidR="00872D1D" w:rsidRDefault="00F02938" w:rsidP="00B67C6B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Hyperlink"/>
                <w:rFonts w:asciiTheme="minorHAnsi" w:hAnsiTheme="minorHAnsi"/>
                <w:sz w:val="28"/>
                <w:szCs w:val="28"/>
              </w:rPr>
            </w:pPr>
            <w:r w:rsidRPr="007156AC">
              <w:rPr>
                <w:rFonts w:asciiTheme="minorHAnsi" w:hAnsiTheme="minorHAnsi"/>
                <w:sz w:val="28"/>
                <w:szCs w:val="28"/>
              </w:rPr>
              <w:t xml:space="preserve">All </w:t>
            </w:r>
            <w:r w:rsidR="00715078">
              <w:rPr>
                <w:rFonts w:asciiTheme="minorHAnsi" w:hAnsiTheme="minorHAnsi"/>
                <w:sz w:val="28"/>
                <w:szCs w:val="28"/>
              </w:rPr>
              <w:t>resources</w:t>
            </w:r>
            <w:r w:rsidRPr="007156A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32D94">
              <w:rPr>
                <w:rFonts w:asciiTheme="minorHAnsi" w:hAnsiTheme="minorHAnsi"/>
                <w:sz w:val="28"/>
                <w:szCs w:val="28"/>
              </w:rPr>
              <w:t xml:space="preserve">are </w:t>
            </w:r>
            <w:r w:rsidR="00872D1D" w:rsidRPr="007156AC">
              <w:rPr>
                <w:rFonts w:asciiTheme="minorHAnsi" w:hAnsiTheme="minorHAnsi"/>
                <w:sz w:val="28"/>
                <w:szCs w:val="28"/>
              </w:rPr>
              <w:t xml:space="preserve">shared via the </w:t>
            </w:r>
            <w:hyperlink r:id="rId25" w:history="1">
              <w:r w:rsidR="00872D1D" w:rsidRPr="001178C6">
                <w:rPr>
                  <w:rStyle w:val="Hyperlink"/>
                  <w:rFonts w:asciiTheme="minorHAnsi" w:hAnsiTheme="minorHAnsi"/>
                  <w:sz w:val="28"/>
                  <w:szCs w:val="28"/>
                </w:rPr>
                <w:t>Specialist Pharmacy Service</w:t>
              </w:r>
              <w:r w:rsidR="00082064" w:rsidRPr="001178C6">
                <w:rPr>
                  <w:rStyle w:val="Hyperlink"/>
                  <w:rFonts w:asciiTheme="minorHAnsi" w:hAnsiTheme="minorHAnsi"/>
                  <w:sz w:val="28"/>
                  <w:szCs w:val="28"/>
                </w:rPr>
                <w:t>’s</w:t>
              </w:r>
              <w:r w:rsidR="00872D1D" w:rsidRPr="001178C6">
                <w:rPr>
                  <w:rStyle w:val="Hyperlink"/>
                  <w:rFonts w:asciiTheme="minorHAnsi" w:hAnsiTheme="minorHAnsi"/>
                  <w:sz w:val="28"/>
                  <w:szCs w:val="28"/>
                </w:rPr>
                <w:t xml:space="preserve"> website</w:t>
              </w:r>
            </w:hyperlink>
          </w:p>
          <w:p w14:paraId="3E4C427B" w14:textId="77777777" w:rsidR="00B67C6B" w:rsidRPr="007156AC" w:rsidRDefault="00B67C6B" w:rsidP="00B67C6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14:paraId="1020D0D6" w14:textId="77777777" w:rsidR="00285006" w:rsidRPr="007156AC" w:rsidRDefault="00285006" w:rsidP="00B67C6B">
      <w:pPr>
        <w:pStyle w:val="Default"/>
        <w:spacing w:line="276" w:lineRule="auto"/>
        <w:rPr>
          <w:rFonts w:asciiTheme="minorHAnsi" w:hAnsiTheme="minorHAnsi"/>
          <w:bCs/>
          <w:color w:val="auto"/>
          <w:u w:val="single"/>
        </w:rPr>
      </w:pPr>
    </w:p>
    <w:sectPr w:rsidR="00285006" w:rsidRPr="007156AC" w:rsidSect="00CF1119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88ED7" w14:textId="77777777" w:rsidR="00690BDE" w:rsidRDefault="00690BDE" w:rsidP="00177557">
      <w:r>
        <w:separator/>
      </w:r>
    </w:p>
  </w:endnote>
  <w:endnote w:type="continuationSeparator" w:id="0">
    <w:p w14:paraId="0BFFFEAA" w14:textId="77777777" w:rsidR="00690BDE" w:rsidRDefault="00690BDE" w:rsidP="0017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9061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736DA7B" w14:textId="5C34186E" w:rsidR="00210EBA" w:rsidRDefault="00210E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D1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E6867F1" w14:textId="77777777" w:rsidR="00210EBA" w:rsidRDefault="00210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BFF3" w14:textId="77777777" w:rsidR="00690BDE" w:rsidRDefault="00690BDE" w:rsidP="00177557">
      <w:r>
        <w:separator/>
      </w:r>
    </w:p>
  </w:footnote>
  <w:footnote w:type="continuationSeparator" w:id="0">
    <w:p w14:paraId="4A747D2E" w14:textId="77777777" w:rsidR="00690BDE" w:rsidRDefault="00690BDE" w:rsidP="0017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C91D" w14:textId="77777777" w:rsidR="00210EBA" w:rsidRPr="008C0BAB" w:rsidRDefault="00530B0C" w:rsidP="008C0BAB">
    <w:pPr>
      <w:pStyle w:val="Header"/>
      <w:jc w:val="center"/>
      <w:rPr>
        <w:b/>
      </w:rPr>
    </w:pPr>
    <w:r>
      <w:rPr>
        <w:b/>
      </w:rPr>
      <w:t>Octo</w:t>
    </w:r>
    <w:r w:rsidR="00210EBA">
      <w:rPr>
        <w:b/>
      </w:rPr>
      <w:t>ber</w:t>
    </w:r>
    <w:r w:rsidR="00210EBA" w:rsidRPr="008C0BAB">
      <w:rPr>
        <w:b/>
      </w:rPr>
      <w:t xml:space="preserve"> 2018</w:t>
    </w:r>
  </w:p>
  <w:p w14:paraId="09952E50" w14:textId="77777777" w:rsidR="00210EBA" w:rsidRDefault="00210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892"/>
    <w:multiLevelType w:val="hybridMultilevel"/>
    <w:tmpl w:val="3A20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171F"/>
    <w:multiLevelType w:val="hybridMultilevel"/>
    <w:tmpl w:val="7EAA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470E"/>
    <w:multiLevelType w:val="hybridMultilevel"/>
    <w:tmpl w:val="4D38BA20"/>
    <w:lvl w:ilvl="0" w:tplc="E3B4328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8EA"/>
    <w:multiLevelType w:val="multilevel"/>
    <w:tmpl w:val="E36C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91987"/>
    <w:multiLevelType w:val="hybridMultilevel"/>
    <w:tmpl w:val="177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3B58"/>
    <w:multiLevelType w:val="hybridMultilevel"/>
    <w:tmpl w:val="6B6C79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267F4"/>
    <w:multiLevelType w:val="hybridMultilevel"/>
    <w:tmpl w:val="AF6A216C"/>
    <w:lvl w:ilvl="0" w:tplc="FDB0F6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E7AC2"/>
    <w:multiLevelType w:val="hybridMultilevel"/>
    <w:tmpl w:val="DD4A149E"/>
    <w:lvl w:ilvl="0" w:tplc="FDB0F6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04255"/>
    <w:multiLevelType w:val="hybridMultilevel"/>
    <w:tmpl w:val="10D65794"/>
    <w:lvl w:ilvl="0" w:tplc="FDB0F6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4C8B"/>
    <w:multiLevelType w:val="hybridMultilevel"/>
    <w:tmpl w:val="74066A70"/>
    <w:lvl w:ilvl="0" w:tplc="FDB0F6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6F09"/>
    <w:multiLevelType w:val="hybridMultilevel"/>
    <w:tmpl w:val="ECDEB004"/>
    <w:lvl w:ilvl="0" w:tplc="25522F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1EF7"/>
    <w:multiLevelType w:val="hybridMultilevel"/>
    <w:tmpl w:val="3C6C5E28"/>
    <w:lvl w:ilvl="0" w:tplc="0FAC7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35BBF"/>
    <w:multiLevelType w:val="hybridMultilevel"/>
    <w:tmpl w:val="EE6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150B5"/>
    <w:multiLevelType w:val="hybridMultilevel"/>
    <w:tmpl w:val="BA3E6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D28E5"/>
    <w:multiLevelType w:val="hybridMultilevel"/>
    <w:tmpl w:val="1590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05B4"/>
    <w:multiLevelType w:val="hybridMultilevel"/>
    <w:tmpl w:val="85C67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0328D"/>
    <w:multiLevelType w:val="hybridMultilevel"/>
    <w:tmpl w:val="3A20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19A6"/>
    <w:multiLevelType w:val="hybridMultilevel"/>
    <w:tmpl w:val="FD763C5E"/>
    <w:lvl w:ilvl="0" w:tplc="F976D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52D6"/>
    <w:multiLevelType w:val="hybridMultilevel"/>
    <w:tmpl w:val="01D0E52C"/>
    <w:lvl w:ilvl="0" w:tplc="FDB0F6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85E13"/>
    <w:multiLevelType w:val="hybridMultilevel"/>
    <w:tmpl w:val="A1E6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F1C59"/>
    <w:multiLevelType w:val="hybridMultilevel"/>
    <w:tmpl w:val="72CE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5ED9"/>
    <w:multiLevelType w:val="multilevel"/>
    <w:tmpl w:val="D95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13B78"/>
    <w:multiLevelType w:val="multilevel"/>
    <w:tmpl w:val="3B7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8A435F"/>
    <w:multiLevelType w:val="hybridMultilevel"/>
    <w:tmpl w:val="AFDA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C7662"/>
    <w:multiLevelType w:val="hybridMultilevel"/>
    <w:tmpl w:val="72CE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3"/>
  </w:num>
  <w:num w:numId="5">
    <w:abstractNumId w:val="22"/>
  </w:num>
  <w:num w:numId="6">
    <w:abstractNumId w:val="17"/>
  </w:num>
  <w:num w:numId="7">
    <w:abstractNumId w:val="5"/>
  </w:num>
  <w:num w:numId="8">
    <w:abstractNumId w:val="10"/>
  </w:num>
  <w:num w:numId="9">
    <w:abstractNumId w:val="4"/>
  </w:num>
  <w:num w:numId="10">
    <w:abstractNumId w:val="23"/>
  </w:num>
  <w:num w:numId="11">
    <w:abstractNumId w:val="12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24"/>
  </w:num>
  <w:num w:numId="17">
    <w:abstractNumId w:val="1"/>
  </w:num>
  <w:num w:numId="18">
    <w:abstractNumId w:val="7"/>
  </w:num>
  <w:num w:numId="19">
    <w:abstractNumId w:val="6"/>
  </w:num>
  <w:num w:numId="20">
    <w:abstractNumId w:val="18"/>
  </w:num>
  <w:num w:numId="21">
    <w:abstractNumId w:val="8"/>
  </w:num>
  <w:num w:numId="22">
    <w:abstractNumId w:val="9"/>
  </w:num>
  <w:num w:numId="23">
    <w:abstractNumId w:val="19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57"/>
    <w:rsid w:val="000136B5"/>
    <w:rsid w:val="0001723C"/>
    <w:rsid w:val="0002246B"/>
    <w:rsid w:val="00023742"/>
    <w:rsid w:val="00025F48"/>
    <w:rsid w:val="0004054D"/>
    <w:rsid w:val="0004148A"/>
    <w:rsid w:val="000461EA"/>
    <w:rsid w:val="00057B15"/>
    <w:rsid w:val="00063122"/>
    <w:rsid w:val="00065CC4"/>
    <w:rsid w:val="00072BC1"/>
    <w:rsid w:val="0007372C"/>
    <w:rsid w:val="00073EE9"/>
    <w:rsid w:val="00082064"/>
    <w:rsid w:val="00086498"/>
    <w:rsid w:val="00090CD5"/>
    <w:rsid w:val="00094E9E"/>
    <w:rsid w:val="000974D8"/>
    <w:rsid w:val="000A1C2B"/>
    <w:rsid w:val="000A2541"/>
    <w:rsid w:val="000A35D3"/>
    <w:rsid w:val="000B3F87"/>
    <w:rsid w:val="000B5A63"/>
    <w:rsid w:val="000D1194"/>
    <w:rsid w:val="000D35B1"/>
    <w:rsid w:val="000E4EBD"/>
    <w:rsid w:val="000E6A03"/>
    <w:rsid w:val="00103ED4"/>
    <w:rsid w:val="00106667"/>
    <w:rsid w:val="00116702"/>
    <w:rsid w:val="001178C6"/>
    <w:rsid w:val="00122AEE"/>
    <w:rsid w:val="00123667"/>
    <w:rsid w:val="00136BC4"/>
    <w:rsid w:val="00145183"/>
    <w:rsid w:val="001523DE"/>
    <w:rsid w:val="00153227"/>
    <w:rsid w:val="0015410D"/>
    <w:rsid w:val="001545FB"/>
    <w:rsid w:val="00162BA0"/>
    <w:rsid w:val="00165583"/>
    <w:rsid w:val="001671BD"/>
    <w:rsid w:val="00174DD8"/>
    <w:rsid w:val="00177557"/>
    <w:rsid w:val="00180B92"/>
    <w:rsid w:val="00184B30"/>
    <w:rsid w:val="0018705C"/>
    <w:rsid w:val="001874DE"/>
    <w:rsid w:val="00191D8D"/>
    <w:rsid w:val="001B2CF2"/>
    <w:rsid w:val="001B6BA9"/>
    <w:rsid w:val="001C1E3C"/>
    <w:rsid w:val="001D0DA2"/>
    <w:rsid w:val="001D2F64"/>
    <w:rsid w:val="001D3BF5"/>
    <w:rsid w:val="001E0E94"/>
    <w:rsid w:val="001E2F1E"/>
    <w:rsid w:val="001F39EE"/>
    <w:rsid w:val="002000A0"/>
    <w:rsid w:val="00203CFA"/>
    <w:rsid w:val="00210597"/>
    <w:rsid w:val="00210EBA"/>
    <w:rsid w:val="0021114D"/>
    <w:rsid w:val="002129E4"/>
    <w:rsid w:val="00217AB4"/>
    <w:rsid w:val="0024388A"/>
    <w:rsid w:val="00243FB5"/>
    <w:rsid w:val="00254E9A"/>
    <w:rsid w:val="002553A3"/>
    <w:rsid w:val="00256585"/>
    <w:rsid w:val="002569C5"/>
    <w:rsid w:val="00260CDC"/>
    <w:rsid w:val="0027365C"/>
    <w:rsid w:val="002841A3"/>
    <w:rsid w:val="00285006"/>
    <w:rsid w:val="00292D08"/>
    <w:rsid w:val="00292D5B"/>
    <w:rsid w:val="0029387B"/>
    <w:rsid w:val="0029435B"/>
    <w:rsid w:val="002B5854"/>
    <w:rsid w:val="002B779C"/>
    <w:rsid w:val="002C01B2"/>
    <w:rsid w:val="002D0FC0"/>
    <w:rsid w:val="002D32C7"/>
    <w:rsid w:val="002E02BA"/>
    <w:rsid w:val="002E0849"/>
    <w:rsid w:val="002F29A4"/>
    <w:rsid w:val="0030124D"/>
    <w:rsid w:val="00311D48"/>
    <w:rsid w:val="00322294"/>
    <w:rsid w:val="00330596"/>
    <w:rsid w:val="00343B2E"/>
    <w:rsid w:val="00344D76"/>
    <w:rsid w:val="0034584D"/>
    <w:rsid w:val="00347366"/>
    <w:rsid w:val="003535C9"/>
    <w:rsid w:val="003566AA"/>
    <w:rsid w:val="003569B3"/>
    <w:rsid w:val="003668A0"/>
    <w:rsid w:val="00377EF7"/>
    <w:rsid w:val="0039675A"/>
    <w:rsid w:val="003C1631"/>
    <w:rsid w:val="003D1D6D"/>
    <w:rsid w:val="003D5C1F"/>
    <w:rsid w:val="003E03DC"/>
    <w:rsid w:val="003E0CDC"/>
    <w:rsid w:val="003E4FDC"/>
    <w:rsid w:val="003E5B91"/>
    <w:rsid w:val="003F12DC"/>
    <w:rsid w:val="003F4AC0"/>
    <w:rsid w:val="003F703D"/>
    <w:rsid w:val="00401873"/>
    <w:rsid w:val="0040792D"/>
    <w:rsid w:val="00410243"/>
    <w:rsid w:val="00410A8D"/>
    <w:rsid w:val="004120F4"/>
    <w:rsid w:val="00415D23"/>
    <w:rsid w:val="00422C94"/>
    <w:rsid w:val="0042649E"/>
    <w:rsid w:val="00435429"/>
    <w:rsid w:val="0043581D"/>
    <w:rsid w:val="00440286"/>
    <w:rsid w:val="00444EA9"/>
    <w:rsid w:val="0044571C"/>
    <w:rsid w:val="0044780B"/>
    <w:rsid w:val="00452029"/>
    <w:rsid w:val="00463BEA"/>
    <w:rsid w:val="00464AAA"/>
    <w:rsid w:val="00465215"/>
    <w:rsid w:val="004708BC"/>
    <w:rsid w:val="0047334F"/>
    <w:rsid w:val="00486481"/>
    <w:rsid w:val="004B602C"/>
    <w:rsid w:val="004C0D3D"/>
    <w:rsid w:val="004C4E67"/>
    <w:rsid w:val="004C77D4"/>
    <w:rsid w:val="004D04F2"/>
    <w:rsid w:val="004D0513"/>
    <w:rsid w:val="004D097F"/>
    <w:rsid w:val="004D2B18"/>
    <w:rsid w:val="004D4423"/>
    <w:rsid w:val="004E5104"/>
    <w:rsid w:val="004F1E8E"/>
    <w:rsid w:val="005075DD"/>
    <w:rsid w:val="00510CDD"/>
    <w:rsid w:val="0051171A"/>
    <w:rsid w:val="00520DA2"/>
    <w:rsid w:val="0052609D"/>
    <w:rsid w:val="00530B0C"/>
    <w:rsid w:val="00537FD2"/>
    <w:rsid w:val="00545AA1"/>
    <w:rsid w:val="00550758"/>
    <w:rsid w:val="00561947"/>
    <w:rsid w:val="00561BC9"/>
    <w:rsid w:val="0056336E"/>
    <w:rsid w:val="00571BEC"/>
    <w:rsid w:val="00581EED"/>
    <w:rsid w:val="00585CED"/>
    <w:rsid w:val="005A1C39"/>
    <w:rsid w:val="005B3D92"/>
    <w:rsid w:val="005B64A8"/>
    <w:rsid w:val="005C698E"/>
    <w:rsid w:val="005C6B88"/>
    <w:rsid w:val="005D0E51"/>
    <w:rsid w:val="005D4D6A"/>
    <w:rsid w:val="005F0C2C"/>
    <w:rsid w:val="005F47AA"/>
    <w:rsid w:val="00604298"/>
    <w:rsid w:val="00605026"/>
    <w:rsid w:val="006126A3"/>
    <w:rsid w:val="00622B37"/>
    <w:rsid w:val="00644E66"/>
    <w:rsid w:val="00652AF8"/>
    <w:rsid w:val="00654589"/>
    <w:rsid w:val="00655927"/>
    <w:rsid w:val="00656CCF"/>
    <w:rsid w:val="006647F3"/>
    <w:rsid w:val="006675BB"/>
    <w:rsid w:val="006709D2"/>
    <w:rsid w:val="00673C37"/>
    <w:rsid w:val="00677B88"/>
    <w:rsid w:val="006803F0"/>
    <w:rsid w:val="00684D53"/>
    <w:rsid w:val="00690BDE"/>
    <w:rsid w:val="00691ABB"/>
    <w:rsid w:val="0069285E"/>
    <w:rsid w:val="006A1260"/>
    <w:rsid w:val="006A545E"/>
    <w:rsid w:val="006A57E6"/>
    <w:rsid w:val="006B2788"/>
    <w:rsid w:val="006B2B19"/>
    <w:rsid w:val="006C320B"/>
    <w:rsid w:val="006C7586"/>
    <w:rsid w:val="006D364C"/>
    <w:rsid w:val="006D48DE"/>
    <w:rsid w:val="006D7B45"/>
    <w:rsid w:val="006E0879"/>
    <w:rsid w:val="006E2298"/>
    <w:rsid w:val="006F4C84"/>
    <w:rsid w:val="00703CAC"/>
    <w:rsid w:val="00707929"/>
    <w:rsid w:val="00711C23"/>
    <w:rsid w:val="007131EF"/>
    <w:rsid w:val="00715078"/>
    <w:rsid w:val="007156AC"/>
    <w:rsid w:val="00717B8E"/>
    <w:rsid w:val="00723C42"/>
    <w:rsid w:val="00724B7B"/>
    <w:rsid w:val="00724C12"/>
    <w:rsid w:val="007322FD"/>
    <w:rsid w:val="007345B9"/>
    <w:rsid w:val="00742C71"/>
    <w:rsid w:val="00745E57"/>
    <w:rsid w:val="00746772"/>
    <w:rsid w:val="00753DA1"/>
    <w:rsid w:val="00772378"/>
    <w:rsid w:val="007737FD"/>
    <w:rsid w:val="0079509F"/>
    <w:rsid w:val="007A502B"/>
    <w:rsid w:val="007B42B9"/>
    <w:rsid w:val="007C7BF6"/>
    <w:rsid w:val="007D034C"/>
    <w:rsid w:val="007D3474"/>
    <w:rsid w:val="007D39DC"/>
    <w:rsid w:val="007D4EC5"/>
    <w:rsid w:val="007D62FB"/>
    <w:rsid w:val="007D6983"/>
    <w:rsid w:val="007E33F5"/>
    <w:rsid w:val="007E3804"/>
    <w:rsid w:val="007F6DE0"/>
    <w:rsid w:val="008019A0"/>
    <w:rsid w:val="00813F8C"/>
    <w:rsid w:val="0083081D"/>
    <w:rsid w:val="00834C83"/>
    <w:rsid w:val="008352D3"/>
    <w:rsid w:val="00836839"/>
    <w:rsid w:val="00845CFE"/>
    <w:rsid w:val="008602DB"/>
    <w:rsid w:val="00861529"/>
    <w:rsid w:val="0086171C"/>
    <w:rsid w:val="00872D1D"/>
    <w:rsid w:val="008852C7"/>
    <w:rsid w:val="008878F9"/>
    <w:rsid w:val="008903A7"/>
    <w:rsid w:val="00891D84"/>
    <w:rsid w:val="00891F09"/>
    <w:rsid w:val="0089449B"/>
    <w:rsid w:val="00894C43"/>
    <w:rsid w:val="008964B2"/>
    <w:rsid w:val="00896F03"/>
    <w:rsid w:val="0089786C"/>
    <w:rsid w:val="008A50FC"/>
    <w:rsid w:val="008A5C38"/>
    <w:rsid w:val="008A71B0"/>
    <w:rsid w:val="008B7497"/>
    <w:rsid w:val="008C0BAB"/>
    <w:rsid w:val="008C5959"/>
    <w:rsid w:val="008C5FE7"/>
    <w:rsid w:val="008C7C59"/>
    <w:rsid w:val="008D0E20"/>
    <w:rsid w:val="008D57B2"/>
    <w:rsid w:val="00907A79"/>
    <w:rsid w:val="009148D3"/>
    <w:rsid w:val="009255D2"/>
    <w:rsid w:val="009265CF"/>
    <w:rsid w:val="00926996"/>
    <w:rsid w:val="00927DAB"/>
    <w:rsid w:val="00932509"/>
    <w:rsid w:val="00932D94"/>
    <w:rsid w:val="00933063"/>
    <w:rsid w:val="009348AB"/>
    <w:rsid w:val="00943B89"/>
    <w:rsid w:val="00944076"/>
    <w:rsid w:val="00945EFC"/>
    <w:rsid w:val="00951FBC"/>
    <w:rsid w:val="009541FA"/>
    <w:rsid w:val="00965659"/>
    <w:rsid w:val="00967360"/>
    <w:rsid w:val="009673DC"/>
    <w:rsid w:val="00970FC4"/>
    <w:rsid w:val="00977A53"/>
    <w:rsid w:val="0098083C"/>
    <w:rsid w:val="0099431F"/>
    <w:rsid w:val="00997BF6"/>
    <w:rsid w:val="009A0405"/>
    <w:rsid w:val="009A10FF"/>
    <w:rsid w:val="009A310A"/>
    <w:rsid w:val="009B0A6A"/>
    <w:rsid w:val="009B1A91"/>
    <w:rsid w:val="009B1BEC"/>
    <w:rsid w:val="009B3F3E"/>
    <w:rsid w:val="009C4DE9"/>
    <w:rsid w:val="009C50FC"/>
    <w:rsid w:val="009D6360"/>
    <w:rsid w:val="009D7BCA"/>
    <w:rsid w:val="009E5008"/>
    <w:rsid w:val="009F45F7"/>
    <w:rsid w:val="009F79D7"/>
    <w:rsid w:val="00A128D4"/>
    <w:rsid w:val="00A14017"/>
    <w:rsid w:val="00A255C8"/>
    <w:rsid w:val="00A2632D"/>
    <w:rsid w:val="00A26EF3"/>
    <w:rsid w:val="00A3561C"/>
    <w:rsid w:val="00A35BE4"/>
    <w:rsid w:val="00A378AD"/>
    <w:rsid w:val="00A37FA1"/>
    <w:rsid w:val="00A4014C"/>
    <w:rsid w:val="00A409EE"/>
    <w:rsid w:val="00A52011"/>
    <w:rsid w:val="00A5273A"/>
    <w:rsid w:val="00A550FC"/>
    <w:rsid w:val="00A56FD5"/>
    <w:rsid w:val="00A575B9"/>
    <w:rsid w:val="00A60FB8"/>
    <w:rsid w:val="00A679E2"/>
    <w:rsid w:val="00A71C75"/>
    <w:rsid w:val="00A73198"/>
    <w:rsid w:val="00A75276"/>
    <w:rsid w:val="00A762A7"/>
    <w:rsid w:val="00A8062F"/>
    <w:rsid w:val="00A8785A"/>
    <w:rsid w:val="00AA4D4E"/>
    <w:rsid w:val="00AB1613"/>
    <w:rsid w:val="00AC5FE5"/>
    <w:rsid w:val="00AD5EFB"/>
    <w:rsid w:val="00AD77EF"/>
    <w:rsid w:val="00AE2763"/>
    <w:rsid w:val="00AE42B6"/>
    <w:rsid w:val="00AE7C1A"/>
    <w:rsid w:val="00B174E7"/>
    <w:rsid w:val="00B248F4"/>
    <w:rsid w:val="00B27389"/>
    <w:rsid w:val="00B31B87"/>
    <w:rsid w:val="00B33042"/>
    <w:rsid w:val="00B451A0"/>
    <w:rsid w:val="00B45588"/>
    <w:rsid w:val="00B47346"/>
    <w:rsid w:val="00B57FF8"/>
    <w:rsid w:val="00B64E41"/>
    <w:rsid w:val="00B66CE2"/>
    <w:rsid w:val="00B67C6B"/>
    <w:rsid w:val="00B7206A"/>
    <w:rsid w:val="00B73FFC"/>
    <w:rsid w:val="00B77F4F"/>
    <w:rsid w:val="00B8181F"/>
    <w:rsid w:val="00B82E6E"/>
    <w:rsid w:val="00B8468F"/>
    <w:rsid w:val="00B94751"/>
    <w:rsid w:val="00BA50E0"/>
    <w:rsid w:val="00BA5CE3"/>
    <w:rsid w:val="00BB0A80"/>
    <w:rsid w:val="00BB0DF9"/>
    <w:rsid w:val="00BB4B12"/>
    <w:rsid w:val="00BB648C"/>
    <w:rsid w:val="00BB76A3"/>
    <w:rsid w:val="00BC4950"/>
    <w:rsid w:val="00BD0DD9"/>
    <w:rsid w:val="00BD4948"/>
    <w:rsid w:val="00BD5D13"/>
    <w:rsid w:val="00BD7B5A"/>
    <w:rsid w:val="00BE0D00"/>
    <w:rsid w:val="00BE6437"/>
    <w:rsid w:val="00BF3564"/>
    <w:rsid w:val="00C05EE2"/>
    <w:rsid w:val="00C0630F"/>
    <w:rsid w:val="00C179C0"/>
    <w:rsid w:val="00C17A13"/>
    <w:rsid w:val="00C43317"/>
    <w:rsid w:val="00C448CF"/>
    <w:rsid w:val="00C450A2"/>
    <w:rsid w:val="00C451D9"/>
    <w:rsid w:val="00C45E2C"/>
    <w:rsid w:val="00C601B7"/>
    <w:rsid w:val="00C61E0B"/>
    <w:rsid w:val="00C714DB"/>
    <w:rsid w:val="00C72F9B"/>
    <w:rsid w:val="00C83CC9"/>
    <w:rsid w:val="00C91D31"/>
    <w:rsid w:val="00C945CF"/>
    <w:rsid w:val="00C97544"/>
    <w:rsid w:val="00CA02B0"/>
    <w:rsid w:val="00CA1FEF"/>
    <w:rsid w:val="00CA65DC"/>
    <w:rsid w:val="00CB0E74"/>
    <w:rsid w:val="00CC4256"/>
    <w:rsid w:val="00CC4F4E"/>
    <w:rsid w:val="00CC699C"/>
    <w:rsid w:val="00CE5758"/>
    <w:rsid w:val="00CF1119"/>
    <w:rsid w:val="00CF2145"/>
    <w:rsid w:val="00CF3BAD"/>
    <w:rsid w:val="00D03A50"/>
    <w:rsid w:val="00D104CC"/>
    <w:rsid w:val="00D143CF"/>
    <w:rsid w:val="00D14976"/>
    <w:rsid w:val="00D155B6"/>
    <w:rsid w:val="00D25A6A"/>
    <w:rsid w:val="00D26E34"/>
    <w:rsid w:val="00D31626"/>
    <w:rsid w:val="00D3736C"/>
    <w:rsid w:val="00D41C8B"/>
    <w:rsid w:val="00D43D7C"/>
    <w:rsid w:val="00D528E3"/>
    <w:rsid w:val="00D5690A"/>
    <w:rsid w:val="00D62D3F"/>
    <w:rsid w:val="00D67C57"/>
    <w:rsid w:val="00D67D48"/>
    <w:rsid w:val="00D732E1"/>
    <w:rsid w:val="00D75A77"/>
    <w:rsid w:val="00D82FF3"/>
    <w:rsid w:val="00D921E2"/>
    <w:rsid w:val="00D97562"/>
    <w:rsid w:val="00DA2379"/>
    <w:rsid w:val="00DC1228"/>
    <w:rsid w:val="00DC63AE"/>
    <w:rsid w:val="00DD5048"/>
    <w:rsid w:val="00DE5806"/>
    <w:rsid w:val="00DF1E1E"/>
    <w:rsid w:val="00E0063A"/>
    <w:rsid w:val="00E01558"/>
    <w:rsid w:val="00E07EB9"/>
    <w:rsid w:val="00E1393E"/>
    <w:rsid w:val="00E24388"/>
    <w:rsid w:val="00E33153"/>
    <w:rsid w:val="00E36560"/>
    <w:rsid w:val="00E416C1"/>
    <w:rsid w:val="00E4380E"/>
    <w:rsid w:val="00E45166"/>
    <w:rsid w:val="00E475AC"/>
    <w:rsid w:val="00E57146"/>
    <w:rsid w:val="00E73BF4"/>
    <w:rsid w:val="00E76947"/>
    <w:rsid w:val="00E8101F"/>
    <w:rsid w:val="00E9124D"/>
    <w:rsid w:val="00E932F0"/>
    <w:rsid w:val="00EA3856"/>
    <w:rsid w:val="00EC502A"/>
    <w:rsid w:val="00EC6D60"/>
    <w:rsid w:val="00EC7892"/>
    <w:rsid w:val="00ED5C7F"/>
    <w:rsid w:val="00ED7669"/>
    <w:rsid w:val="00EF4EF4"/>
    <w:rsid w:val="00F02938"/>
    <w:rsid w:val="00F2127D"/>
    <w:rsid w:val="00F26D35"/>
    <w:rsid w:val="00F331CB"/>
    <w:rsid w:val="00F33B4C"/>
    <w:rsid w:val="00F34A31"/>
    <w:rsid w:val="00F36DCA"/>
    <w:rsid w:val="00F67178"/>
    <w:rsid w:val="00F703D5"/>
    <w:rsid w:val="00F7051A"/>
    <w:rsid w:val="00F806C7"/>
    <w:rsid w:val="00F837B0"/>
    <w:rsid w:val="00F86298"/>
    <w:rsid w:val="00F8727A"/>
    <w:rsid w:val="00FA3819"/>
    <w:rsid w:val="00FB0B36"/>
    <w:rsid w:val="00FB1016"/>
    <w:rsid w:val="00FB7008"/>
    <w:rsid w:val="00FC4A00"/>
    <w:rsid w:val="00FC4DF0"/>
    <w:rsid w:val="00FD7310"/>
    <w:rsid w:val="00FE1ACF"/>
    <w:rsid w:val="00FE1E41"/>
    <w:rsid w:val="00FF1563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E7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755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557"/>
    <w:rPr>
      <w:color w:val="0000FF"/>
      <w:u w:val="single"/>
    </w:rPr>
  </w:style>
  <w:style w:type="paragraph" w:customStyle="1" w:styleId="Default">
    <w:name w:val="Default"/>
    <w:rsid w:val="00177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55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7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57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5075D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9C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51"/>
    <w:rPr>
      <w:rFonts w:ascii="Times New Roman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5507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0F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F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FB8"/>
    <w:rPr>
      <w:rFonts w:ascii="Calibri" w:hAnsi="Calibri" w:cs="Calibri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F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FB8"/>
    <w:rPr>
      <w:rFonts w:ascii="Calibri" w:hAnsi="Calibri" w:cs="Calibri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8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630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6CE2"/>
  </w:style>
  <w:style w:type="paragraph" w:styleId="BodyText">
    <w:name w:val="Body Text"/>
    <w:basedOn w:val="Normal"/>
    <w:link w:val="BodyTextChar"/>
    <w:unhideWhenUsed/>
    <w:rsid w:val="00D528E3"/>
    <w:pPr>
      <w:spacing w:after="180" w:line="256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528E3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ngland.biosimilars@nhs.net" TargetMode="External"/><Relationship Id="rId18" Type="http://schemas.openxmlformats.org/officeDocument/2006/relationships/hyperlink" Target="http://www.ema.europa.eu/ema/index.jsp?curl=pages/medicines/human/medicines/004279/human_med_002147.jsp&amp;mid=WC0b01ac058001d12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tephen.brown17@nhs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ps.nhs.uk/articles/adalimumab-commissioning-intentions/" TargetMode="External"/><Relationship Id="rId17" Type="http://schemas.openxmlformats.org/officeDocument/2006/relationships/hyperlink" Target="http://www.ema.europa.eu/ema/index.jsp?curl=pages/medicines/human/medicines/004429/human_med_002302.jsp&amp;mid=WC0b01ac058001d124" TargetMode="External"/><Relationship Id="rId25" Type="http://schemas.openxmlformats.org/officeDocument/2006/relationships/hyperlink" Target="https://www.sps.nhs.uk/medicines/adalimuma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a.europa.eu/ema/index.jsp?curl=pages/medicines/human/medicines/004212/human_med_002081.jsp&amp;mid=WC0b01ac058001d124" TargetMode="External"/><Relationship Id="rId20" Type="http://schemas.openxmlformats.org/officeDocument/2006/relationships/hyperlink" Target="https://www.rpharms.com/resources/professional-standards/professional-standards-for-homecare-services/homecare-handbook-appendic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.nhs.uk/adalimumab" TargetMode="External"/><Relationship Id="rId24" Type="http://schemas.openxmlformats.org/officeDocument/2006/relationships/hyperlink" Target="mailto:michelecossey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a.europa.eu/ema/index.jsp?curl=pages/medicines/human/medicines/000481/human_med_000822.jsp&amp;mid=WC0b01ac058001d124" TargetMode="External"/><Relationship Id="rId23" Type="http://schemas.openxmlformats.org/officeDocument/2006/relationships/hyperlink" Target="mailto:richard.seal1@nhs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ps.nhs.uk/articles/adalimumab-resources-to-use-with-patients/" TargetMode="External"/><Relationship Id="rId19" Type="http://schemas.openxmlformats.org/officeDocument/2006/relationships/hyperlink" Target="http://www.ema.europa.eu/ema/index.jsp?curl=pages/medicines/human/medicines/004320/human_med_002268.jsp&amp;mid=WC0b01ac058001d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s.nhs.uk/articles/adalimumab-toolkit-for-commissioners-and-providers/" TargetMode="External"/><Relationship Id="rId14" Type="http://schemas.openxmlformats.org/officeDocument/2006/relationships/hyperlink" Target="https://www.ema.europa.eu/" TargetMode="External"/><Relationship Id="rId22" Type="http://schemas.openxmlformats.org/officeDocument/2006/relationships/hyperlink" Target="mailto:richard.goodman@nhs.ne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A90B-74D4-4639-9FCB-91A05391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Brown</dc:creator>
  <cp:lastModifiedBy>Schofield, Ian</cp:lastModifiedBy>
  <cp:revision>2</cp:revision>
  <dcterms:created xsi:type="dcterms:W3CDTF">2018-10-17T11:24:00Z</dcterms:created>
  <dcterms:modified xsi:type="dcterms:W3CDTF">2018-10-17T11:24:00Z</dcterms:modified>
</cp:coreProperties>
</file>